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552"/>
        <w:gridCol w:w="4669"/>
        <w:gridCol w:w="2700"/>
      </w:tblGrid>
      <w:tr w:rsidR="00477A47" w:rsidRPr="004C77E8" w:rsidTr="009A7799">
        <w:tc>
          <w:tcPr>
            <w:tcW w:w="2552" w:type="dxa"/>
          </w:tcPr>
          <w:p w:rsidR="00477A47" w:rsidRPr="004C77E8" w:rsidRDefault="009835E4" w:rsidP="009A7799">
            <w:pPr>
              <w:rPr>
                <w:rFonts w:ascii="Arial" w:hAnsi="Arial" w:cs="Arial"/>
                <w:sz w:val="20"/>
                <w:szCs w:val="20"/>
              </w:rPr>
            </w:pPr>
            <w:bookmarkStart w:id="0" w:name="Logo"/>
            <w:r w:rsidRPr="004C77E8">
              <w:rPr>
                <w:rFonts w:ascii="Arial" w:hAnsi="Arial" w:cs="Arial"/>
                <w:noProof/>
                <w:sz w:val="20"/>
                <w:szCs w:val="20"/>
              </w:rPr>
              <w:drawing>
                <wp:inline distT="0" distB="0" distL="0" distR="0" wp14:anchorId="65878661" wp14:editId="1B3B1726">
                  <wp:extent cx="1148400" cy="600332"/>
                  <wp:effectExtent l="0" t="0" r="0" b="9525"/>
                  <wp:docPr id="1" name="Billede 1" descr="Q:\PPT\SAMLING\JV\Logo2013\LogoSortD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PPT\SAMLING\JV\Logo2013\LogoSortDK.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8400" cy="600332"/>
                          </a:xfrm>
                          <a:prstGeom prst="rect">
                            <a:avLst/>
                          </a:prstGeom>
                          <a:noFill/>
                          <a:ln>
                            <a:noFill/>
                          </a:ln>
                        </pic:spPr>
                      </pic:pic>
                    </a:graphicData>
                  </a:graphic>
                </wp:inline>
              </w:drawing>
            </w:r>
            <w:bookmarkEnd w:id="0"/>
          </w:p>
        </w:tc>
        <w:tc>
          <w:tcPr>
            <w:tcW w:w="4669" w:type="dxa"/>
          </w:tcPr>
          <w:p w:rsidR="00477A47" w:rsidRPr="004C77E8" w:rsidRDefault="00477A47" w:rsidP="009A7799">
            <w:pPr>
              <w:rPr>
                <w:rFonts w:ascii="Arial" w:hAnsi="Arial" w:cs="Arial"/>
                <w:sz w:val="20"/>
                <w:szCs w:val="20"/>
              </w:rPr>
            </w:pPr>
          </w:p>
        </w:tc>
        <w:tc>
          <w:tcPr>
            <w:tcW w:w="2700" w:type="dxa"/>
          </w:tcPr>
          <w:p w:rsidR="00477A47" w:rsidRPr="004C77E8" w:rsidRDefault="00477A47" w:rsidP="009A7799">
            <w:pPr>
              <w:rPr>
                <w:rFonts w:ascii="Arial" w:hAnsi="Arial" w:cs="Arial"/>
                <w:sz w:val="20"/>
                <w:szCs w:val="20"/>
              </w:rPr>
            </w:pPr>
            <w:bookmarkStart w:id="1" w:name="Journalnr"/>
            <w:bookmarkEnd w:id="1"/>
          </w:p>
          <w:p w:rsidR="00477A47" w:rsidRPr="004C77E8" w:rsidRDefault="00283326" w:rsidP="009A7799">
            <w:pPr>
              <w:rPr>
                <w:rFonts w:ascii="Arial" w:hAnsi="Arial" w:cs="Arial"/>
                <w:sz w:val="20"/>
                <w:szCs w:val="20"/>
              </w:rPr>
            </w:pPr>
            <w:bookmarkStart w:id="2" w:name="Dato"/>
            <w:bookmarkStart w:id="3" w:name="Brugerinitial"/>
            <w:bookmarkEnd w:id="2"/>
            <w:bookmarkEnd w:id="3"/>
            <w:r w:rsidRPr="00283326">
              <w:rPr>
                <w:rFonts w:ascii="Arial" w:hAnsi="Arial" w:cs="Arial"/>
                <w:sz w:val="20"/>
                <w:szCs w:val="20"/>
              </w:rPr>
              <w:t>Thomas Eisler</w:t>
            </w:r>
          </w:p>
          <w:p w:rsidR="00477A47" w:rsidRPr="004C77E8" w:rsidRDefault="004D007F" w:rsidP="009A7799">
            <w:pPr>
              <w:rPr>
                <w:rFonts w:ascii="Arial" w:hAnsi="Arial" w:cs="Arial"/>
                <w:sz w:val="20"/>
                <w:szCs w:val="20"/>
              </w:rPr>
            </w:pPr>
            <w:bookmarkStart w:id="4" w:name="kontor"/>
            <w:bookmarkEnd w:id="4"/>
            <w:r w:rsidRPr="004C77E8">
              <w:rPr>
                <w:rFonts w:ascii="Arial" w:hAnsi="Arial" w:cs="Arial"/>
                <w:sz w:val="20"/>
                <w:szCs w:val="20"/>
              </w:rPr>
              <w:t>Nationalregnskab</w:t>
            </w:r>
          </w:p>
        </w:tc>
      </w:tr>
    </w:tbl>
    <w:p w:rsidR="00477A47" w:rsidRPr="004C77E8" w:rsidRDefault="00477A47" w:rsidP="00477A47">
      <w:pPr>
        <w:rPr>
          <w:rFonts w:ascii="Arial" w:hAnsi="Arial" w:cs="Arial"/>
          <w:sz w:val="20"/>
          <w:szCs w:val="20"/>
        </w:rPr>
        <w:sectPr w:rsidR="00477A47" w:rsidRPr="004C77E8" w:rsidSect="0056349C">
          <w:footerReference w:type="first" r:id="rId10"/>
          <w:type w:val="continuous"/>
          <w:pgSz w:w="11906" w:h="16838" w:code="9"/>
          <w:pgMar w:top="459" w:right="794" w:bottom="1247" w:left="1191" w:header="454" w:footer="454" w:gutter="0"/>
          <w:cols w:space="708"/>
          <w:docGrid w:linePitch="360"/>
        </w:sectPr>
      </w:pPr>
      <w:bookmarkStart w:id="5" w:name="Sektion"/>
      <w:bookmarkEnd w:id="5"/>
    </w:p>
    <w:bookmarkStart w:id="6" w:name="Artikel" w:displacedByCustomXml="next"/>
    <w:bookmarkEnd w:id="6" w:displacedByCustomXml="next"/>
    <w:bookmarkStart w:id="7" w:name="Titel" w:displacedByCustomXml="next"/>
    <w:sdt>
      <w:sdtPr>
        <w:rPr>
          <w:i/>
          <w:sz w:val="20"/>
          <w:szCs w:val="20"/>
        </w:rPr>
        <w:alias w:val="Titel"/>
        <w:tag w:val=""/>
        <w:id w:val="-1116371093"/>
        <w:placeholder>
          <w:docPart w:val="476566953B2D434B9C0877AB614F0E33"/>
        </w:placeholder>
        <w:dataBinding w:prefixMappings="xmlns:ns0='http://purl.org/dc/elements/1.1/' xmlns:ns1='http://schemas.openxmlformats.org/package/2006/metadata/core-properties' " w:xpath="/ns1:coreProperties[1]/ns0:title[1]" w:storeItemID="{6C3C8BC8-F283-45AE-878A-BAB7291924A1}"/>
        <w:text/>
      </w:sdtPr>
      <w:sdtEndPr/>
      <w:sdtContent>
        <w:p w:rsidR="00477A47" w:rsidRPr="004C77E8" w:rsidRDefault="00720B53" w:rsidP="00477A47">
          <w:pPr>
            <w:pStyle w:val="Titel"/>
            <w:rPr>
              <w:b w:val="0"/>
              <w:bCs w:val="0"/>
              <w:kern w:val="0"/>
              <w:sz w:val="20"/>
              <w:szCs w:val="20"/>
            </w:rPr>
          </w:pPr>
          <w:r w:rsidRPr="00720B53">
            <w:rPr>
              <w:i/>
              <w:sz w:val="20"/>
              <w:szCs w:val="20"/>
            </w:rPr>
            <w:t>Dokumentation af leverance til Grøn Reform</w:t>
          </w:r>
          <w:r>
            <w:rPr>
              <w:i/>
              <w:sz w:val="20"/>
              <w:szCs w:val="20"/>
            </w:rPr>
            <w:t xml:space="preserve"> – </w:t>
          </w:r>
          <w:r w:rsidR="00283326">
            <w:rPr>
              <w:i/>
              <w:sz w:val="20"/>
              <w:szCs w:val="20"/>
            </w:rPr>
            <w:t>november</w:t>
          </w:r>
          <w:r>
            <w:rPr>
              <w:i/>
              <w:sz w:val="20"/>
              <w:szCs w:val="20"/>
            </w:rPr>
            <w:t xml:space="preserve"> 202</w:t>
          </w:r>
          <w:r w:rsidR="00283326">
            <w:rPr>
              <w:i/>
              <w:sz w:val="20"/>
              <w:szCs w:val="20"/>
            </w:rPr>
            <w:t>1</w:t>
          </w:r>
        </w:p>
      </w:sdtContent>
    </w:sdt>
    <w:bookmarkEnd w:id="7"/>
    <w:p w:rsidR="00720B53" w:rsidRDefault="00720B53" w:rsidP="00477A47">
      <w:pPr>
        <w:rPr>
          <w:i/>
          <w:sz w:val="20"/>
          <w:szCs w:val="20"/>
        </w:rPr>
      </w:pPr>
    </w:p>
    <w:p w:rsidR="00830E70" w:rsidRPr="004C77E8" w:rsidRDefault="00830E70" w:rsidP="00477A47">
      <w:pPr>
        <w:rPr>
          <w:rFonts w:ascii="Arial" w:hAnsi="Arial" w:cs="Arial"/>
          <w:b/>
          <w:sz w:val="20"/>
          <w:szCs w:val="20"/>
        </w:rPr>
      </w:pPr>
      <w:r w:rsidRPr="004C77E8">
        <w:rPr>
          <w:rFonts w:ascii="Arial" w:hAnsi="Arial" w:cs="Arial"/>
          <w:b/>
          <w:sz w:val="20"/>
          <w:szCs w:val="20"/>
        </w:rPr>
        <w:t>Beskrivelse af opgaven</w:t>
      </w:r>
    </w:p>
    <w:p w:rsidR="00D20ED8" w:rsidRDefault="00D20ED8" w:rsidP="00477A47">
      <w:pPr>
        <w:rPr>
          <w:rFonts w:ascii="Arial" w:hAnsi="Arial" w:cs="Arial"/>
          <w:sz w:val="20"/>
          <w:szCs w:val="20"/>
        </w:rPr>
      </w:pPr>
    </w:p>
    <w:p w:rsidR="00720B53" w:rsidRDefault="00720B53" w:rsidP="00477A47">
      <w:pPr>
        <w:rPr>
          <w:rFonts w:ascii="Arial" w:hAnsi="Arial" w:cs="Arial"/>
          <w:sz w:val="20"/>
          <w:szCs w:val="20"/>
        </w:rPr>
      </w:pPr>
      <w:r>
        <w:rPr>
          <w:rFonts w:ascii="Arial" w:hAnsi="Arial" w:cs="Arial"/>
          <w:sz w:val="20"/>
          <w:szCs w:val="20"/>
        </w:rPr>
        <w:t>Denne dokumentation vedrører følgende leverance:</w:t>
      </w:r>
    </w:p>
    <w:p w:rsidR="00720B53" w:rsidRDefault="00720B53" w:rsidP="00720B53">
      <w:pPr>
        <w:pStyle w:val="Listeafsnit"/>
        <w:numPr>
          <w:ilvl w:val="0"/>
          <w:numId w:val="19"/>
        </w:numPr>
        <w:rPr>
          <w:rFonts w:ascii="Arial" w:hAnsi="Arial" w:cs="Arial"/>
          <w:sz w:val="20"/>
          <w:szCs w:val="20"/>
        </w:rPr>
      </w:pPr>
      <w:r>
        <w:rPr>
          <w:rFonts w:ascii="Arial" w:hAnsi="Arial" w:cs="Arial"/>
          <w:sz w:val="20"/>
          <w:szCs w:val="20"/>
        </w:rPr>
        <w:t>Energiregnskab med forbrug opdelt på formål som tidligere leveret med</w:t>
      </w:r>
      <w:r w:rsidR="00283326">
        <w:rPr>
          <w:rFonts w:ascii="Arial" w:hAnsi="Arial" w:cs="Arial"/>
          <w:sz w:val="20"/>
          <w:szCs w:val="20"/>
        </w:rPr>
        <w:t xml:space="preserve"> yderligere</w:t>
      </w:r>
      <w:r>
        <w:rPr>
          <w:rFonts w:ascii="Arial" w:hAnsi="Arial" w:cs="Arial"/>
          <w:sz w:val="20"/>
          <w:szCs w:val="20"/>
        </w:rPr>
        <w:t xml:space="preserve"> underopdeling af brancher. </w:t>
      </w:r>
      <w:r w:rsidR="00283326">
        <w:rPr>
          <w:rFonts w:ascii="Arial" w:hAnsi="Arial" w:cs="Arial"/>
          <w:sz w:val="20"/>
          <w:szCs w:val="20"/>
        </w:rPr>
        <w:t xml:space="preserve">De økonomiske værdier er </w:t>
      </w:r>
      <w:r w:rsidR="00D17D14">
        <w:rPr>
          <w:rFonts w:ascii="Arial" w:hAnsi="Arial" w:cs="Arial"/>
          <w:sz w:val="20"/>
          <w:szCs w:val="20"/>
        </w:rPr>
        <w:t xml:space="preserve">for forbruget </w:t>
      </w:r>
      <w:r>
        <w:rPr>
          <w:rFonts w:ascii="Arial" w:hAnsi="Arial" w:cs="Arial"/>
          <w:sz w:val="20"/>
          <w:szCs w:val="20"/>
        </w:rPr>
        <w:t xml:space="preserve">er konsistente med IO-tabellerne. </w:t>
      </w:r>
    </w:p>
    <w:p w:rsidR="00BA461C" w:rsidRPr="004C77E8" w:rsidRDefault="00BA461C" w:rsidP="00477A47">
      <w:pPr>
        <w:rPr>
          <w:rFonts w:ascii="Arial" w:hAnsi="Arial" w:cs="Arial"/>
          <w:sz w:val="20"/>
          <w:szCs w:val="20"/>
        </w:rPr>
      </w:pPr>
    </w:p>
    <w:p w:rsidR="00830E70" w:rsidRPr="004C77E8" w:rsidRDefault="00D17D14" w:rsidP="00477A47">
      <w:pPr>
        <w:rPr>
          <w:rFonts w:ascii="Arial" w:hAnsi="Arial" w:cs="Arial"/>
          <w:b/>
          <w:sz w:val="20"/>
          <w:szCs w:val="20"/>
        </w:rPr>
      </w:pPr>
      <w:r>
        <w:rPr>
          <w:rFonts w:ascii="Arial" w:hAnsi="Arial" w:cs="Arial"/>
          <w:b/>
          <w:sz w:val="20"/>
          <w:szCs w:val="20"/>
        </w:rPr>
        <w:t>Dataleverance af energi opdelt på formål.</w:t>
      </w:r>
    </w:p>
    <w:p w:rsidR="00D64294" w:rsidRPr="004C77E8" w:rsidRDefault="00830E70" w:rsidP="00477A47">
      <w:pPr>
        <w:rPr>
          <w:rFonts w:ascii="Arial" w:hAnsi="Arial" w:cs="Arial"/>
          <w:sz w:val="20"/>
          <w:szCs w:val="20"/>
        </w:rPr>
      </w:pPr>
      <w:r w:rsidRPr="004C77E8">
        <w:rPr>
          <w:rFonts w:ascii="Arial" w:hAnsi="Arial" w:cs="Arial"/>
          <w:sz w:val="20"/>
          <w:szCs w:val="20"/>
        </w:rPr>
        <w:t xml:space="preserve">En fil med energiregnskabet </w:t>
      </w:r>
      <w:r w:rsidR="00FF41F0" w:rsidRPr="004C77E8">
        <w:rPr>
          <w:rFonts w:ascii="Arial" w:hAnsi="Arial" w:cs="Arial"/>
          <w:sz w:val="20"/>
          <w:szCs w:val="20"/>
        </w:rPr>
        <w:t>201</w:t>
      </w:r>
      <w:r w:rsidR="00283326">
        <w:rPr>
          <w:rFonts w:ascii="Arial" w:hAnsi="Arial" w:cs="Arial"/>
          <w:sz w:val="20"/>
          <w:szCs w:val="20"/>
        </w:rPr>
        <w:t>7</w:t>
      </w:r>
      <w:r w:rsidR="00FF41F0" w:rsidRPr="004C77E8">
        <w:rPr>
          <w:rFonts w:ascii="Arial" w:hAnsi="Arial" w:cs="Arial"/>
          <w:sz w:val="20"/>
          <w:szCs w:val="20"/>
        </w:rPr>
        <w:t xml:space="preserve"> og </w:t>
      </w:r>
      <w:r w:rsidRPr="004C77E8">
        <w:rPr>
          <w:rFonts w:ascii="Arial" w:hAnsi="Arial" w:cs="Arial"/>
          <w:sz w:val="20"/>
          <w:szCs w:val="20"/>
        </w:rPr>
        <w:t>201</w:t>
      </w:r>
      <w:r w:rsidR="00283326">
        <w:rPr>
          <w:rFonts w:ascii="Arial" w:hAnsi="Arial" w:cs="Arial"/>
          <w:sz w:val="20"/>
          <w:szCs w:val="20"/>
        </w:rPr>
        <w:t>8</w:t>
      </w:r>
      <w:r w:rsidRPr="004C77E8">
        <w:rPr>
          <w:rFonts w:ascii="Arial" w:hAnsi="Arial" w:cs="Arial"/>
          <w:sz w:val="20"/>
          <w:szCs w:val="20"/>
        </w:rPr>
        <w:t xml:space="preserve">, hvor forbruget er opdelt i nævnte formål. </w:t>
      </w:r>
      <w:r w:rsidR="00FF41F0" w:rsidRPr="004C77E8">
        <w:rPr>
          <w:rFonts w:ascii="Arial" w:hAnsi="Arial" w:cs="Arial"/>
          <w:sz w:val="20"/>
          <w:szCs w:val="20"/>
        </w:rPr>
        <w:t>Fordeling på formål for år 201</w:t>
      </w:r>
      <w:r w:rsidR="00283326">
        <w:rPr>
          <w:rFonts w:ascii="Arial" w:hAnsi="Arial" w:cs="Arial"/>
          <w:sz w:val="20"/>
          <w:szCs w:val="20"/>
        </w:rPr>
        <w:t>7</w:t>
      </w:r>
      <w:r w:rsidR="00FF41F0" w:rsidRPr="004C77E8">
        <w:rPr>
          <w:rFonts w:ascii="Arial" w:hAnsi="Arial" w:cs="Arial"/>
          <w:sz w:val="20"/>
          <w:szCs w:val="20"/>
        </w:rPr>
        <w:t xml:space="preserve"> sker ved at anvende de samme fordelingstal, som er beregnet </w:t>
      </w:r>
      <w:r w:rsidR="00924A7E" w:rsidRPr="004C77E8">
        <w:rPr>
          <w:rFonts w:ascii="Arial" w:hAnsi="Arial" w:cs="Arial"/>
          <w:sz w:val="20"/>
          <w:szCs w:val="20"/>
        </w:rPr>
        <w:t xml:space="preserve">for 2016. </w:t>
      </w:r>
    </w:p>
    <w:p w:rsidR="00D64294" w:rsidRPr="004C77E8" w:rsidRDefault="00830E70" w:rsidP="00477A47">
      <w:pPr>
        <w:rPr>
          <w:rFonts w:ascii="Arial" w:hAnsi="Arial" w:cs="Arial"/>
          <w:sz w:val="20"/>
          <w:szCs w:val="20"/>
        </w:rPr>
      </w:pPr>
      <w:r w:rsidRPr="004C77E8">
        <w:rPr>
          <w:rFonts w:ascii="Arial" w:hAnsi="Arial" w:cs="Arial"/>
          <w:sz w:val="20"/>
          <w:szCs w:val="20"/>
        </w:rPr>
        <w:t>Formål er indikeret ved en variab</w:t>
      </w:r>
      <w:r w:rsidR="005C2726" w:rsidRPr="004C77E8">
        <w:rPr>
          <w:rFonts w:ascii="Arial" w:hAnsi="Arial" w:cs="Arial"/>
          <w:sz w:val="20"/>
          <w:szCs w:val="20"/>
        </w:rPr>
        <w:t>e</w:t>
      </w:r>
      <w:r w:rsidR="00992CC1" w:rsidRPr="004C77E8">
        <w:rPr>
          <w:rFonts w:ascii="Arial" w:hAnsi="Arial" w:cs="Arial"/>
          <w:sz w:val="20"/>
          <w:szCs w:val="20"/>
        </w:rPr>
        <w:t>l</w:t>
      </w:r>
      <w:r w:rsidR="00D64294" w:rsidRPr="004C77E8">
        <w:rPr>
          <w:rFonts w:ascii="Arial" w:hAnsi="Arial" w:cs="Arial"/>
          <w:sz w:val="20"/>
          <w:szCs w:val="20"/>
        </w:rPr>
        <w:t xml:space="preserve"> </w:t>
      </w:r>
      <w:proofErr w:type="spellStart"/>
      <w:r w:rsidR="00D64294" w:rsidRPr="004C77E8">
        <w:rPr>
          <w:rFonts w:ascii="Arial" w:hAnsi="Arial" w:cs="Arial"/>
          <w:sz w:val="20"/>
          <w:szCs w:val="20"/>
        </w:rPr>
        <w:t>GR_form</w:t>
      </w:r>
      <w:r w:rsidR="006B0533" w:rsidRPr="004C77E8">
        <w:rPr>
          <w:rFonts w:ascii="Arial" w:hAnsi="Arial" w:cs="Arial"/>
          <w:sz w:val="20"/>
          <w:szCs w:val="20"/>
        </w:rPr>
        <w:t>aa</w:t>
      </w:r>
      <w:r w:rsidR="00D64294" w:rsidRPr="004C77E8">
        <w:rPr>
          <w:rFonts w:ascii="Arial" w:hAnsi="Arial" w:cs="Arial"/>
          <w:sz w:val="20"/>
          <w:szCs w:val="20"/>
        </w:rPr>
        <w:t>l</w:t>
      </w:r>
      <w:proofErr w:type="spellEnd"/>
      <w:r w:rsidR="00992CC1" w:rsidRPr="004C77E8">
        <w:rPr>
          <w:rFonts w:ascii="Arial" w:hAnsi="Arial" w:cs="Arial"/>
          <w:sz w:val="20"/>
          <w:szCs w:val="20"/>
        </w:rPr>
        <w:t>.</w:t>
      </w:r>
    </w:p>
    <w:p w:rsidR="00D64294" w:rsidRPr="004C77E8" w:rsidRDefault="00D64294" w:rsidP="00477A47">
      <w:pPr>
        <w:rPr>
          <w:rFonts w:ascii="Arial" w:hAnsi="Arial" w:cs="Arial"/>
          <w:sz w:val="20"/>
          <w:szCs w:val="20"/>
        </w:rPr>
      </w:pPr>
      <w:r w:rsidRPr="004C77E8">
        <w:rPr>
          <w:rFonts w:ascii="Arial" w:hAnsi="Arial" w:cs="Arial"/>
          <w:sz w:val="20"/>
          <w:szCs w:val="20"/>
        </w:rPr>
        <w:t>Variablen har værdierne: kvoteomfattet, særlig proces, alm. proces, rumvarme, transport. Opdelingen gælder alene forbrug i brancher og husholdninger. For tilgang (produktion, import) og import vil variablen derfor være blank. Det samme gælder vare-branche</w:t>
      </w:r>
      <w:r w:rsidR="00F93645" w:rsidRPr="004C77E8">
        <w:rPr>
          <w:rFonts w:ascii="Arial" w:hAnsi="Arial" w:cs="Arial"/>
          <w:sz w:val="20"/>
          <w:szCs w:val="20"/>
        </w:rPr>
        <w:t>-linjer, der ikke forventes at have noget forbrug. Det er inden leverance</w:t>
      </w:r>
      <w:r w:rsidR="00283326">
        <w:rPr>
          <w:rFonts w:ascii="Arial" w:hAnsi="Arial" w:cs="Arial"/>
          <w:sz w:val="20"/>
          <w:szCs w:val="20"/>
        </w:rPr>
        <w:t>n tjekket</w:t>
      </w:r>
      <w:r w:rsidR="00F93645" w:rsidRPr="004C77E8">
        <w:rPr>
          <w:rFonts w:ascii="Arial" w:hAnsi="Arial" w:cs="Arial"/>
          <w:sz w:val="20"/>
          <w:szCs w:val="20"/>
        </w:rPr>
        <w:t>, at forbruget i energiregnskabet stemmer efter fordeling, således at der hverken ved beregningerne er forbrug, der tælles dobbelt eller forbrug, der ikke regnes med.</w:t>
      </w:r>
    </w:p>
    <w:p w:rsidR="00283326" w:rsidRDefault="00992CC1" w:rsidP="00477A47">
      <w:pPr>
        <w:rPr>
          <w:rFonts w:ascii="Arial" w:hAnsi="Arial" w:cs="Arial"/>
          <w:sz w:val="20"/>
          <w:szCs w:val="20"/>
        </w:rPr>
      </w:pPr>
      <w:r w:rsidRPr="004C77E8">
        <w:rPr>
          <w:rFonts w:ascii="Arial" w:hAnsi="Arial" w:cs="Arial"/>
          <w:sz w:val="20"/>
          <w:szCs w:val="20"/>
        </w:rPr>
        <w:t>Energiregnskabet omfatter 117</w:t>
      </w:r>
      <w:r w:rsidR="00830E70" w:rsidRPr="004C77E8">
        <w:rPr>
          <w:rFonts w:ascii="Arial" w:hAnsi="Arial" w:cs="Arial"/>
          <w:sz w:val="20"/>
          <w:szCs w:val="20"/>
        </w:rPr>
        <w:t xml:space="preserve"> brancher</w:t>
      </w:r>
      <w:r w:rsidRPr="004C77E8">
        <w:rPr>
          <w:rFonts w:ascii="Arial" w:hAnsi="Arial" w:cs="Arial"/>
          <w:sz w:val="20"/>
          <w:szCs w:val="20"/>
        </w:rPr>
        <w:t xml:space="preserve"> (og husholdninger opdelt i </w:t>
      </w:r>
      <w:r w:rsidR="00572CF1" w:rsidRPr="004C77E8">
        <w:rPr>
          <w:rFonts w:ascii="Arial" w:hAnsi="Arial" w:cs="Arial"/>
          <w:sz w:val="20"/>
          <w:szCs w:val="20"/>
        </w:rPr>
        <w:t>5</w:t>
      </w:r>
      <w:r w:rsidRPr="004C77E8">
        <w:rPr>
          <w:rFonts w:ascii="Arial" w:hAnsi="Arial" w:cs="Arial"/>
          <w:sz w:val="20"/>
          <w:szCs w:val="20"/>
        </w:rPr>
        <w:t>)</w:t>
      </w:r>
      <w:r w:rsidR="00830E70" w:rsidRPr="004C77E8">
        <w:rPr>
          <w:rFonts w:ascii="Arial" w:hAnsi="Arial" w:cs="Arial"/>
          <w:sz w:val="20"/>
          <w:szCs w:val="20"/>
        </w:rPr>
        <w:t xml:space="preserve"> og 4</w:t>
      </w:r>
      <w:r w:rsidR="00572CF1" w:rsidRPr="004C77E8">
        <w:rPr>
          <w:rFonts w:ascii="Arial" w:hAnsi="Arial" w:cs="Arial"/>
          <w:sz w:val="20"/>
          <w:szCs w:val="20"/>
        </w:rPr>
        <w:t>8</w:t>
      </w:r>
      <w:r w:rsidR="00830E70" w:rsidRPr="004C77E8">
        <w:rPr>
          <w:rFonts w:ascii="Arial" w:hAnsi="Arial" w:cs="Arial"/>
          <w:sz w:val="20"/>
          <w:szCs w:val="20"/>
        </w:rPr>
        <w:t xml:space="preserve"> energivarer.</w:t>
      </w:r>
      <w:r w:rsidR="007E22CC" w:rsidRPr="004C77E8">
        <w:rPr>
          <w:rFonts w:ascii="Arial" w:hAnsi="Arial" w:cs="Arial"/>
          <w:sz w:val="20"/>
          <w:szCs w:val="20"/>
        </w:rPr>
        <w:t xml:space="preserve"> </w:t>
      </w:r>
      <w:r w:rsidRPr="004C77E8">
        <w:rPr>
          <w:rFonts w:ascii="Arial" w:hAnsi="Arial" w:cs="Arial"/>
          <w:sz w:val="20"/>
          <w:szCs w:val="20"/>
        </w:rPr>
        <w:t xml:space="preserve">Dog er to energivarer JP4 og </w:t>
      </w:r>
      <w:proofErr w:type="spellStart"/>
      <w:r w:rsidRPr="004C77E8">
        <w:rPr>
          <w:rFonts w:ascii="Arial" w:hAnsi="Arial" w:cs="Arial"/>
          <w:sz w:val="20"/>
          <w:szCs w:val="20"/>
        </w:rPr>
        <w:t>Orimulsion</w:t>
      </w:r>
      <w:proofErr w:type="spellEnd"/>
      <w:r w:rsidRPr="004C77E8">
        <w:rPr>
          <w:rFonts w:ascii="Arial" w:hAnsi="Arial" w:cs="Arial"/>
          <w:sz w:val="20"/>
          <w:szCs w:val="20"/>
        </w:rPr>
        <w:t xml:space="preserve"> ikke haft anvendelse i Danmark siden hhv. 1992 og 2002. </w:t>
      </w:r>
      <w:r w:rsidR="00857A89" w:rsidRPr="004C77E8">
        <w:rPr>
          <w:rFonts w:ascii="Arial" w:hAnsi="Arial" w:cs="Arial"/>
          <w:sz w:val="20"/>
          <w:szCs w:val="20"/>
        </w:rPr>
        <w:t xml:space="preserve">De er derfor ikke taget med. </w:t>
      </w:r>
      <w:r w:rsidR="00283326">
        <w:rPr>
          <w:rFonts w:ascii="Arial" w:hAnsi="Arial" w:cs="Arial"/>
          <w:sz w:val="20"/>
          <w:szCs w:val="20"/>
        </w:rPr>
        <w:t xml:space="preserve">Der er i leverancen sket en yderligere opdeling af varer. Således er </w:t>
      </w:r>
      <w:r w:rsidR="0010220B">
        <w:rPr>
          <w:rFonts w:ascii="Arial" w:hAnsi="Arial" w:cs="Arial"/>
          <w:sz w:val="20"/>
          <w:szCs w:val="20"/>
        </w:rPr>
        <w:t xml:space="preserve">naturgas til transport udskilt i varen CNG, biogas til transport i varen </w:t>
      </w:r>
      <w:proofErr w:type="spellStart"/>
      <w:r w:rsidR="0010220B">
        <w:rPr>
          <w:rFonts w:ascii="Arial" w:hAnsi="Arial" w:cs="Arial"/>
          <w:sz w:val="20"/>
          <w:szCs w:val="20"/>
        </w:rPr>
        <w:t>BioCNG</w:t>
      </w:r>
      <w:proofErr w:type="spellEnd"/>
      <w:r w:rsidR="0010220B">
        <w:rPr>
          <w:rFonts w:ascii="Arial" w:hAnsi="Arial" w:cs="Arial"/>
          <w:sz w:val="20"/>
          <w:szCs w:val="20"/>
        </w:rPr>
        <w:t xml:space="preserve"> og el til transport i varen </w:t>
      </w:r>
      <w:proofErr w:type="spellStart"/>
      <w:r w:rsidR="0010220B">
        <w:rPr>
          <w:rFonts w:ascii="Arial" w:hAnsi="Arial" w:cs="Arial"/>
          <w:sz w:val="20"/>
          <w:szCs w:val="20"/>
        </w:rPr>
        <w:t>El_trsp</w:t>
      </w:r>
      <w:proofErr w:type="spellEnd"/>
      <w:r w:rsidR="0010220B">
        <w:rPr>
          <w:rFonts w:ascii="Arial" w:hAnsi="Arial" w:cs="Arial"/>
          <w:sz w:val="20"/>
          <w:szCs w:val="20"/>
        </w:rPr>
        <w:t>.</w:t>
      </w:r>
    </w:p>
    <w:p w:rsidR="00830E70" w:rsidRPr="004C77E8" w:rsidRDefault="007E22CC" w:rsidP="00477A47">
      <w:pPr>
        <w:rPr>
          <w:rFonts w:ascii="Arial" w:hAnsi="Arial" w:cs="Arial"/>
          <w:sz w:val="20"/>
          <w:szCs w:val="20"/>
        </w:rPr>
      </w:pPr>
      <w:r w:rsidRPr="004C77E8">
        <w:rPr>
          <w:rFonts w:ascii="Arial" w:hAnsi="Arial" w:cs="Arial"/>
          <w:sz w:val="20"/>
          <w:szCs w:val="20"/>
        </w:rPr>
        <w:t xml:space="preserve">For hver branche-vare kombination er der </w:t>
      </w:r>
      <w:r w:rsidR="0025108F" w:rsidRPr="004C77E8">
        <w:rPr>
          <w:rFonts w:ascii="Arial" w:hAnsi="Arial" w:cs="Arial"/>
          <w:sz w:val="20"/>
          <w:szCs w:val="20"/>
        </w:rPr>
        <w:t>en opdeling på formål</w:t>
      </w:r>
      <w:r w:rsidR="00BD1E32" w:rsidRPr="004C77E8">
        <w:rPr>
          <w:rFonts w:ascii="Arial" w:hAnsi="Arial" w:cs="Arial"/>
          <w:sz w:val="20"/>
          <w:szCs w:val="20"/>
        </w:rPr>
        <w:t xml:space="preserve"> af alle værdier</w:t>
      </w:r>
      <w:r w:rsidR="00992CC1" w:rsidRPr="004C77E8">
        <w:rPr>
          <w:rFonts w:ascii="Arial" w:hAnsi="Arial" w:cs="Arial"/>
          <w:sz w:val="20"/>
          <w:szCs w:val="20"/>
        </w:rPr>
        <w:t xml:space="preserve">. Dvs. mængde, GJ, basispriser, engrosavance, detailavance, Energiafgifter, CO2-afgifter, SO2-afgifter, </w:t>
      </w:r>
      <w:proofErr w:type="spellStart"/>
      <w:r w:rsidR="0010220B">
        <w:rPr>
          <w:rFonts w:ascii="Arial" w:hAnsi="Arial" w:cs="Arial"/>
          <w:sz w:val="20"/>
          <w:szCs w:val="20"/>
        </w:rPr>
        <w:t>NOx</w:t>
      </w:r>
      <w:proofErr w:type="spellEnd"/>
      <w:r w:rsidR="0010220B">
        <w:rPr>
          <w:rFonts w:ascii="Arial" w:hAnsi="Arial" w:cs="Arial"/>
          <w:sz w:val="20"/>
          <w:szCs w:val="20"/>
        </w:rPr>
        <w:t xml:space="preserve">-afgifter, PSO, </w:t>
      </w:r>
      <w:r w:rsidR="00992CC1" w:rsidRPr="004C77E8">
        <w:rPr>
          <w:rFonts w:ascii="Arial" w:hAnsi="Arial" w:cs="Arial"/>
          <w:sz w:val="20"/>
          <w:szCs w:val="20"/>
        </w:rPr>
        <w:t>moms og køberpriser</w:t>
      </w:r>
      <w:r w:rsidR="0025108F" w:rsidRPr="004C77E8">
        <w:rPr>
          <w:rFonts w:ascii="Arial" w:hAnsi="Arial" w:cs="Arial"/>
          <w:sz w:val="20"/>
          <w:szCs w:val="20"/>
        </w:rPr>
        <w:t>.</w:t>
      </w:r>
      <w:r w:rsidR="0010220B">
        <w:rPr>
          <w:rFonts w:ascii="Arial" w:hAnsi="Arial" w:cs="Arial"/>
          <w:sz w:val="20"/>
          <w:szCs w:val="20"/>
        </w:rPr>
        <w:t xml:space="preserve"> PSO er opgjort som et nettotal for PSO-afgift minus PSO-</w:t>
      </w:r>
      <w:proofErr w:type="spellStart"/>
      <w:r w:rsidR="0010220B">
        <w:rPr>
          <w:rFonts w:ascii="Arial" w:hAnsi="Arial" w:cs="Arial"/>
          <w:sz w:val="20"/>
          <w:szCs w:val="20"/>
        </w:rPr>
        <w:t>subsidie</w:t>
      </w:r>
      <w:proofErr w:type="spellEnd"/>
      <w:r w:rsidR="0010220B">
        <w:rPr>
          <w:rFonts w:ascii="Arial" w:hAnsi="Arial" w:cs="Arial"/>
          <w:sz w:val="20"/>
          <w:szCs w:val="20"/>
        </w:rPr>
        <w:t>.</w:t>
      </w:r>
    </w:p>
    <w:p w:rsidR="005C2726" w:rsidRPr="004C77E8" w:rsidRDefault="005C2726" w:rsidP="00477A47">
      <w:pPr>
        <w:rPr>
          <w:rFonts w:ascii="Arial" w:hAnsi="Arial" w:cs="Arial"/>
          <w:sz w:val="20"/>
          <w:szCs w:val="20"/>
        </w:rPr>
      </w:pPr>
    </w:p>
    <w:tbl>
      <w:tblPr>
        <w:tblW w:w="7386" w:type="dxa"/>
        <w:tblInd w:w="55" w:type="dxa"/>
        <w:tblCellMar>
          <w:left w:w="70" w:type="dxa"/>
          <w:right w:w="70" w:type="dxa"/>
        </w:tblCellMar>
        <w:tblLook w:val="04A0" w:firstRow="1" w:lastRow="0" w:firstColumn="1" w:lastColumn="0" w:noHBand="0" w:noVBand="1"/>
      </w:tblPr>
      <w:tblGrid>
        <w:gridCol w:w="1580"/>
        <w:gridCol w:w="5806"/>
      </w:tblGrid>
      <w:tr w:rsidR="000A6724" w:rsidRPr="004C77E8" w:rsidTr="00597734">
        <w:trPr>
          <w:trHeight w:val="300"/>
        </w:trPr>
        <w:tc>
          <w:tcPr>
            <w:tcW w:w="7386" w:type="dxa"/>
            <w:gridSpan w:val="2"/>
            <w:tcBorders>
              <w:top w:val="nil"/>
              <w:left w:val="nil"/>
              <w:bottom w:val="nil"/>
              <w:right w:val="nil"/>
            </w:tcBorders>
            <w:shd w:val="clear" w:color="auto" w:fill="auto"/>
            <w:noWrap/>
            <w:vAlign w:val="bottom"/>
          </w:tcPr>
          <w:p w:rsidR="000A6724" w:rsidRPr="004C77E8" w:rsidRDefault="000A6724" w:rsidP="00D35633">
            <w:pPr>
              <w:spacing w:line="240" w:lineRule="auto"/>
              <w:jc w:val="left"/>
              <w:rPr>
                <w:rFonts w:ascii="Arial" w:hAnsi="Arial" w:cs="Arial"/>
                <w:b/>
                <w:color w:val="000000"/>
                <w:sz w:val="20"/>
                <w:szCs w:val="20"/>
              </w:rPr>
            </w:pPr>
            <w:r w:rsidRPr="004C77E8">
              <w:rPr>
                <w:rFonts w:ascii="Arial" w:hAnsi="Arial" w:cs="Arial"/>
                <w:b/>
                <w:color w:val="000000"/>
                <w:sz w:val="20"/>
                <w:szCs w:val="20"/>
              </w:rPr>
              <w:t>Variable i leverance</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proofErr w:type="spellStart"/>
            <w:r w:rsidRPr="00D35633">
              <w:rPr>
                <w:rFonts w:ascii="Arial" w:hAnsi="Arial" w:cs="Arial"/>
                <w:color w:val="000000"/>
                <w:sz w:val="20"/>
                <w:szCs w:val="20"/>
              </w:rPr>
              <w:t>Udslipsrelevant</w:t>
            </w:r>
            <w:proofErr w:type="spellEnd"/>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Hvorvidt varen bruges i beregning af direkte emissioner</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Type</w:t>
            </w:r>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Overordnet kategori for varen</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Vare</w:t>
            </w:r>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Kort varenavn</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Varetekst</w:t>
            </w:r>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Længere varenavn</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proofErr w:type="spellStart"/>
            <w:r w:rsidRPr="00D35633">
              <w:rPr>
                <w:rFonts w:ascii="Arial" w:hAnsi="Arial" w:cs="Arial"/>
                <w:color w:val="000000"/>
                <w:sz w:val="20"/>
                <w:szCs w:val="20"/>
              </w:rPr>
              <w:t>Col</w:t>
            </w:r>
            <w:proofErr w:type="spellEnd"/>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Kolonne der bruges ved opstilling af matricer</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proofErr w:type="spellStart"/>
            <w:r w:rsidRPr="00D35633">
              <w:rPr>
                <w:rFonts w:ascii="Arial" w:hAnsi="Arial" w:cs="Arial"/>
                <w:color w:val="000000"/>
                <w:sz w:val="20"/>
                <w:szCs w:val="20"/>
              </w:rPr>
              <w:t>NrNr</w:t>
            </w:r>
            <w:proofErr w:type="spellEnd"/>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Nationalregnskabsnummer</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Trans</w:t>
            </w:r>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Transaktionskode</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proofErr w:type="spellStart"/>
            <w:r w:rsidRPr="00D35633">
              <w:rPr>
                <w:rFonts w:ascii="Arial" w:hAnsi="Arial" w:cs="Arial"/>
                <w:color w:val="000000"/>
                <w:sz w:val="20"/>
                <w:szCs w:val="20"/>
              </w:rPr>
              <w:t>Brch</w:t>
            </w:r>
            <w:proofErr w:type="spellEnd"/>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Branchenummer</w:t>
            </w:r>
            <w:r w:rsidR="0010220B">
              <w:rPr>
                <w:rFonts w:ascii="Arial" w:hAnsi="Arial" w:cs="Arial"/>
                <w:color w:val="000000"/>
                <w:sz w:val="20"/>
                <w:szCs w:val="20"/>
              </w:rPr>
              <w:t xml:space="preserve"> i nationalregnskabet</w:t>
            </w:r>
          </w:p>
        </w:tc>
      </w:tr>
      <w:tr w:rsidR="0010220B" w:rsidRPr="00D35633" w:rsidTr="000A6724">
        <w:trPr>
          <w:trHeight w:val="300"/>
        </w:trPr>
        <w:tc>
          <w:tcPr>
            <w:tcW w:w="1580" w:type="dxa"/>
            <w:tcBorders>
              <w:top w:val="nil"/>
              <w:left w:val="nil"/>
              <w:bottom w:val="nil"/>
              <w:right w:val="nil"/>
            </w:tcBorders>
            <w:shd w:val="clear" w:color="auto" w:fill="auto"/>
            <w:noWrap/>
            <w:vAlign w:val="bottom"/>
          </w:tcPr>
          <w:p w:rsidR="0010220B" w:rsidRPr="00D35633" w:rsidRDefault="0010220B" w:rsidP="00D35633">
            <w:pPr>
              <w:spacing w:line="240" w:lineRule="auto"/>
              <w:jc w:val="left"/>
              <w:rPr>
                <w:rFonts w:ascii="Arial" w:hAnsi="Arial" w:cs="Arial"/>
                <w:color w:val="000000"/>
                <w:sz w:val="20"/>
                <w:szCs w:val="20"/>
              </w:rPr>
            </w:pPr>
            <w:proofErr w:type="spellStart"/>
            <w:r>
              <w:rPr>
                <w:rFonts w:ascii="Arial" w:hAnsi="Arial" w:cs="Arial"/>
                <w:color w:val="000000"/>
                <w:sz w:val="20"/>
                <w:szCs w:val="20"/>
              </w:rPr>
              <w:t>GR_branche</w:t>
            </w:r>
            <w:proofErr w:type="spellEnd"/>
          </w:p>
        </w:tc>
        <w:tc>
          <w:tcPr>
            <w:tcW w:w="5806" w:type="dxa"/>
            <w:tcBorders>
              <w:top w:val="nil"/>
              <w:left w:val="nil"/>
              <w:bottom w:val="nil"/>
              <w:right w:val="nil"/>
            </w:tcBorders>
            <w:shd w:val="clear" w:color="auto" w:fill="auto"/>
            <w:noWrap/>
            <w:vAlign w:val="bottom"/>
          </w:tcPr>
          <w:p w:rsidR="0010220B" w:rsidRPr="00D35633" w:rsidRDefault="0010220B" w:rsidP="00D35633">
            <w:pPr>
              <w:spacing w:line="240" w:lineRule="auto"/>
              <w:jc w:val="left"/>
              <w:rPr>
                <w:rFonts w:ascii="Arial" w:hAnsi="Arial" w:cs="Arial"/>
                <w:color w:val="000000"/>
                <w:sz w:val="20"/>
                <w:szCs w:val="20"/>
              </w:rPr>
            </w:pPr>
            <w:r>
              <w:rPr>
                <w:rFonts w:ascii="Arial" w:hAnsi="Arial" w:cs="Arial"/>
                <w:color w:val="000000"/>
                <w:sz w:val="20"/>
                <w:szCs w:val="20"/>
              </w:rPr>
              <w:t>Branchenummer i den særlige opdeling til Grøn Reform</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proofErr w:type="spellStart"/>
            <w:r w:rsidRPr="00D35633">
              <w:rPr>
                <w:rFonts w:ascii="Arial" w:hAnsi="Arial" w:cs="Arial"/>
                <w:color w:val="000000"/>
                <w:sz w:val="20"/>
                <w:szCs w:val="20"/>
              </w:rPr>
              <w:t>GR_formaal</w:t>
            </w:r>
            <w:proofErr w:type="spellEnd"/>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Variabel, der definere</w:t>
            </w:r>
            <w:r w:rsidR="00D17D14">
              <w:rPr>
                <w:rFonts w:ascii="Arial" w:hAnsi="Arial" w:cs="Arial"/>
                <w:color w:val="000000"/>
                <w:sz w:val="20"/>
                <w:szCs w:val="20"/>
              </w:rPr>
              <w:t>r</w:t>
            </w:r>
            <w:r w:rsidRPr="00D35633">
              <w:rPr>
                <w:rFonts w:ascii="Arial" w:hAnsi="Arial" w:cs="Arial"/>
                <w:color w:val="000000"/>
                <w:sz w:val="20"/>
                <w:szCs w:val="20"/>
              </w:rPr>
              <w:t xml:space="preserve"> formål i jf. opdelingen</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proofErr w:type="spellStart"/>
            <w:r w:rsidRPr="00D35633">
              <w:rPr>
                <w:rFonts w:ascii="Arial" w:hAnsi="Arial" w:cs="Arial"/>
                <w:color w:val="000000"/>
                <w:sz w:val="20"/>
                <w:szCs w:val="20"/>
              </w:rPr>
              <w:t>Aar</w:t>
            </w:r>
            <w:proofErr w:type="spellEnd"/>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År</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MGD</w:t>
            </w:r>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mængde i specifikke enheder</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GJ</w:t>
            </w:r>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 xml:space="preserve">mænge i </w:t>
            </w:r>
            <w:proofErr w:type="spellStart"/>
            <w:r w:rsidRPr="00D35633">
              <w:rPr>
                <w:rFonts w:ascii="Arial" w:hAnsi="Arial" w:cs="Arial"/>
                <w:color w:val="000000"/>
                <w:sz w:val="20"/>
                <w:szCs w:val="20"/>
              </w:rPr>
              <w:t>GigaJoule</w:t>
            </w:r>
            <w:proofErr w:type="spellEnd"/>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BAS</w:t>
            </w:r>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Værdi i basispriser</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EAV</w:t>
            </w:r>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Engrosavance</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DAV</w:t>
            </w:r>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Detailavance</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proofErr w:type="spellStart"/>
            <w:r w:rsidRPr="00D35633">
              <w:rPr>
                <w:rFonts w:ascii="Arial" w:hAnsi="Arial" w:cs="Arial"/>
                <w:color w:val="000000"/>
                <w:sz w:val="20"/>
                <w:szCs w:val="20"/>
              </w:rPr>
              <w:lastRenderedPageBreak/>
              <w:t>Eafg</w:t>
            </w:r>
            <w:proofErr w:type="spellEnd"/>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Energiafgifter</w:t>
            </w:r>
            <w:r w:rsidR="0010220B">
              <w:rPr>
                <w:rFonts w:ascii="Arial" w:hAnsi="Arial" w:cs="Arial"/>
                <w:color w:val="000000"/>
                <w:sz w:val="20"/>
                <w:szCs w:val="20"/>
              </w:rPr>
              <w:t xml:space="preserve"> (el-, gas-, kul- og mineralolieafgifter) </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proofErr w:type="spellStart"/>
            <w:r w:rsidRPr="00D35633">
              <w:rPr>
                <w:rFonts w:ascii="Arial" w:hAnsi="Arial" w:cs="Arial"/>
                <w:color w:val="000000"/>
                <w:sz w:val="20"/>
                <w:szCs w:val="20"/>
              </w:rPr>
              <w:t>Cafg</w:t>
            </w:r>
            <w:proofErr w:type="spellEnd"/>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CO2-afgifter</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proofErr w:type="spellStart"/>
            <w:r w:rsidRPr="00D35633">
              <w:rPr>
                <w:rFonts w:ascii="Arial" w:hAnsi="Arial" w:cs="Arial"/>
                <w:color w:val="000000"/>
                <w:sz w:val="20"/>
                <w:szCs w:val="20"/>
              </w:rPr>
              <w:t>Safg</w:t>
            </w:r>
            <w:proofErr w:type="spellEnd"/>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SO2-afgifter</w:t>
            </w:r>
          </w:p>
        </w:tc>
      </w:tr>
      <w:tr w:rsidR="0010220B" w:rsidRPr="00D35633" w:rsidTr="000A6724">
        <w:trPr>
          <w:trHeight w:val="300"/>
        </w:trPr>
        <w:tc>
          <w:tcPr>
            <w:tcW w:w="1580" w:type="dxa"/>
            <w:tcBorders>
              <w:top w:val="nil"/>
              <w:left w:val="nil"/>
              <w:bottom w:val="nil"/>
              <w:right w:val="nil"/>
            </w:tcBorders>
            <w:shd w:val="clear" w:color="auto" w:fill="auto"/>
            <w:noWrap/>
            <w:vAlign w:val="bottom"/>
          </w:tcPr>
          <w:p w:rsidR="0010220B" w:rsidRPr="00D35633" w:rsidRDefault="0010220B" w:rsidP="00D35633">
            <w:pPr>
              <w:spacing w:line="240" w:lineRule="auto"/>
              <w:jc w:val="left"/>
              <w:rPr>
                <w:rFonts w:ascii="Arial" w:hAnsi="Arial" w:cs="Arial"/>
                <w:color w:val="000000"/>
                <w:sz w:val="20"/>
                <w:szCs w:val="20"/>
              </w:rPr>
            </w:pPr>
            <w:proofErr w:type="spellStart"/>
            <w:r>
              <w:rPr>
                <w:rFonts w:ascii="Arial" w:hAnsi="Arial" w:cs="Arial"/>
                <w:color w:val="000000"/>
                <w:sz w:val="20"/>
                <w:szCs w:val="20"/>
              </w:rPr>
              <w:t>Nafg</w:t>
            </w:r>
            <w:proofErr w:type="spellEnd"/>
          </w:p>
        </w:tc>
        <w:tc>
          <w:tcPr>
            <w:tcW w:w="5806" w:type="dxa"/>
            <w:tcBorders>
              <w:top w:val="nil"/>
              <w:left w:val="nil"/>
              <w:bottom w:val="nil"/>
              <w:right w:val="nil"/>
            </w:tcBorders>
            <w:shd w:val="clear" w:color="auto" w:fill="auto"/>
            <w:noWrap/>
            <w:vAlign w:val="bottom"/>
          </w:tcPr>
          <w:p w:rsidR="0010220B" w:rsidRPr="00D35633" w:rsidRDefault="0010220B" w:rsidP="00D35633">
            <w:pPr>
              <w:spacing w:line="240" w:lineRule="auto"/>
              <w:jc w:val="left"/>
              <w:rPr>
                <w:rFonts w:ascii="Arial" w:hAnsi="Arial" w:cs="Arial"/>
                <w:color w:val="000000"/>
                <w:sz w:val="20"/>
                <w:szCs w:val="20"/>
              </w:rPr>
            </w:pPr>
            <w:proofErr w:type="spellStart"/>
            <w:r>
              <w:rPr>
                <w:rFonts w:ascii="Arial" w:hAnsi="Arial" w:cs="Arial"/>
                <w:color w:val="000000"/>
                <w:sz w:val="20"/>
                <w:szCs w:val="20"/>
              </w:rPr>
              <w:t>NOx</w:t>
            </w:r>
            <w:proofErr w:type="spellEnd"/>
            <w:r>
              <w:rPr>
                <w:rFonts w:ascii="Arial" w:hAnsi="Arial" w:cs="Arial"/>
                <w:color w:val="000000"/>
                <w:sz w:val="20"/>
                <w:szCs w:val="20"/>
              </w:rPr>
              <w:t>-afgift</w:t>
            </w:r>
          </w:p>
        </w:tc>
      </w:tr>
      <w:tr w:rsidR="0010220B" w:rsidRPr="007402DE" w:rsidTr="000A6724">
        <w:trPr>
          <w:trHeight w:val="300"/>
        </w:trPr>
        <w:tc>
          <w:tcPr>
            <w:tcW w:w="1580" w:type="dxa"/>
            <w:tcBorders>
              <w:top w:val="nil"/>
              <w:left w:val="nil"/>
              <w:bottom w:val="nil"/>
              <w:right w:val="nil"/>
            </w:tcBorders>
            <w:shd w:val="clear" w:color="auto" w:fill="auto"/>
            <w:noWrap/>
            <w:vAlign w:val="bottom"/>
          </w:tcPr>
          <w:p w:rsidR="0010220B" w:rsidRDefault="0010220B" w:rsidP="00D35633">
            <w:pPr>
              <w:spacing w:line="240" w:lineRule="auto"/>
              <w:jc w:val="left"/>
              <w:rPr>
                <w:rFonts w:ascii="Arial" w:hAnsi="Arial" w:cs="Arial"/>
                <w:color w:val="000000"/>
                <w:sz w:val="20"/>
                <w:szCs w:val="20"/>
              </w:rPr>
            </w:pPr>
            <w:r>
              <w:rPr>
                <w:rFonts w:ascii="Arial" w:hAnsi="Arial" w:cs="Arial"/>
                <w:color w:val="000000"/>
                <w:sz w:val="20"/>
                <w:szCs w:val="20"/>
              </w:rPr>
              <w:t>PSO</w:t>
            </w:r>
          </w:p>
        </w:tc>
        <w:tc>
          <w:tcPr>
            <w:tcW w:w="5806" w:type="dxa"/>
            <w:tcBorders>
              <w:top w:val="nil"/>
              <w:left w:val="nil"/>
              <w:bottom w:val="nil"/>
              <w:right w:val="nil"/>
            </w:tcBorders>
            <w:shd w:val="clear" w:color="auto" w:fill="auto"/>
            <w:noWrap/>
            <w:vAlign w:val="bottom"/>
          </w:tcPr>
          <w:p w:rsidR="0010220B" w:rsidRPr="0010220B" w:rsidRDefault="0010220B" w:rsidP="00D35633">
            <w:pPr>
              <w:spacing w:line="240" w:lineRule="auto"/>
              <w:jc w:val="left"/>
              <w:rPr>
                <w:rFonts w:ascii="Arial" w:hAnsi="Arial" w:cs="Arial"/>
                <w:color w:val="000000"/>
                <w:sz w:val="20"/>
                <w:szCs w:val="20"/>
                <w:lang w:val="en-US"/>
              </w:rPr>
            </w:pPr>
            <w:r w:rsidRPr="0010220B">
              <w:rPr>
                <w:rFonts w:ascii="Arial" w:hAnsi="Arial" w:cs="Arial"/>
                <w:color w:val="000000"/>
                <w:sz w:val="20"/>
                <w:szCs w:val="20"/>
                <w:lang w:val="en-US"/>
              </w:rPr>
              <w:t>PSO-</w:t>
            </w:r>
            <w:proofErr w:type="spellStart"/>
            <w:r w:rsidRPr="0010220B">
              <w:rPr>
                <w:rFonts w:ascii="Arial" w:hAnsi="Arial" w:cs="Arial"/>
                <w:color w:val="000000"/>
                <w:sz w:val="20"/>
                <w:szCs w:val="20"/>
                <w:lang w:val="en-US"/>
              </w:rPr>
              <w:t>afgift</w:t>
            </w:r>
            <w:proofErr w:type="spellEnd"/>
            <w:r w:rsidRPr="0010220B">
              <w:rPr>
                <w:rFonts w:ascii="Arial" w:hAnsi="Arial" w:cs="Arial"/>
                <w:color w:val="000000"/>
                <w:sz w:val="20"/>
                <w:szCs w:val="20"/>
                <w:lang w:val="en-US"/>
              </w:rPr>
              <w:t xml:space="preserve"> minus PSO-</w:t>
            </w:r>
            <w:proofErr w:type="spellStart"/>
            <w:r w:rsidRPr="0010220B">
              <w:rPr>
                <w:rFonts w:ascii="Arial" w:hAnsi="Arial" w:cs="Arial"/>
                <w:color w:val="000000"/>
                <w:sz w:val="20"/>
                <w:szCs w:val="20"/>
                <w:lang w:val="en-US"/>
              </w:rPr>
              <w:t>subsidie</w:t>
            </w:r>
            <w:proofErr w:type="spellEnd"/>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Moms</w:t>
            </w:r>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Moms</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proofErr w:type="spellStart"/>
            <w:r w:rsidRPr="00D35633">
              <w:rPr>
                <w:rFonts w:ascii="Arial" w:hAnsi="Arial" w:cs="Arial"/>
                <w:color w:val="000000"/>
                <w:sz w:val="20"/>
                <w:szCs w:val="20"/>
              </w:rPr>
              <w:t>Kbin</w:t>
            </w:r>
            <w:proofErr w:type="spellEnd"/>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Køberpriser</w:t>
            </w:r>
          </w:p>
        </w:tc>
      </w:tr>
    </w:tbl>
    <w:p w:rsidR="005C2726" w:rsidRPr="004C77E8" w:rsidRDefault="005C2726" w:rsidP="00477A47">
      <w:pPr>
        <w:rPr>
          <w:rFonts w:ascii="Arial" w:hAnsi="Arial" w:cs="Arial"/>
          <w:sz w:val="20"/>
          <w:szCs w:val="20"/>
        </w:rPr>
      </w:pPr>
    </w:p>
    <w:p w:rsidR="00477A47" w:rsidRPr="004C77E8" w:rsidRDefault="00477A47" w:rsidP="00477A47">
      <w:pPr>
        <w:rPr>
          <w:rFonts w:ascii="Arial" w:hAnsi="Arial" w:cs="Arial"/>
          <w:sz w:val="20"/>
          <w:szCs w:val="20"/>
        </w:rPr>
      </w:pPr>
      <w:bookmarkStart w:id="8" w:name="Til"/>
      <w:bookmarkEnd w:id="8"/>
    </w:p>
    <w:p w:rsidR="00193025" w:rsidRPr="004C77E8" w:rsidRDefault="00193025" w:rsidP="004D007F">
      <w:pPr>
        <w:rPr>
          <w:rFonts w:ascii="Arial" w:hAnsi="Arial" w:cs="Arial"/>
          <w:b/>
          <w:sz w:val="20"/>
          <w:szCs w:val="20"/>
        </w:rPr>
      </w:pPr>
      <w:bookmarkStart w:id="9" w:name="brødtekststart"/>
      <w:bookmarkEnd w:id="9"/>
      <w:r w:rsidRPr="004C77E8">
        <w:rPr>
          <w:rFonts w:ascii="Arial" w:hAnsi="Arial" w:cs="Arial"/>
          <w:b/>
          <w:sz w:val="20"/>
          <w:szCs w:val="20"/>
        </w:rPr>
        <w:t>Definition af de forskellige formål</w:t>
      </w:r>
    </w:p>
    <w:p w:rsidR="00193025" w:rsidRPr="004C77E8" w:rsidRDefault="00193025" w:rsidP="004D007F">
      <w:pPr>
        <w:rPr>
          <w:rFonts w:ascii="Arial" w:hAnsi="Arial" w:cs="Arial"/>
          <w:sz w:val="20"/>
          <w:szCs w:val="20"/>
        </w:rPr>
      </w:pPr>
      <w:r w:rsidRPr="004C77E8">
        <w:rPr>
          <w:rFonts w:ascii="Arial" w:hAnsi="Arial" w:cs="Arial"/>
          <w:sz w:val="20"/>
          <w:szCs w:val="20"/>
        </w:rPr>
        <w:t xml:space="preserve">Definitionerne følger de samme retningslinjer som ligger til grund for godtgørelsen. </w:t>
      </w:r>
      <w:r w:rsidR="00857A89" w:rsidRPr="004C77E8">
        <w:rPr>
          <w:rFonts w:ascii="Arial" w:hAnsi="Arial" w:cs="Arial"/>
          <w:sz w:val="20"/>
          <w:szCs w:val="20"/>
        </w:rPr>
        <w:t>Definitionerne stemmer overens med</w:t>
      </w:r>
      <w:r w:rsidRPr="004C77E8">
        <w:rPr>
          <w:rFonts w:ascii="Arial" w:hAnsi="Arial" w:cs="Arial"/>
          <w:sz w:val="20"/>
          <w:szCs w:val="20"/>
        </w:rPr>
        <w:t xml:space="preserve"> vejledning</w:t>
      </w:r>
      <w:r w:rsidR="00857A89" w:rsidRPr="004C77E8">
        <w:rPr>
          <w:rFonts w:ascii="Arial" w:hAnsi="Arial" w:cs="Arial"/>
          <w:sz w:val="20"/>
          <w:szCs w:val="20"/>
        </w:rPr>
        <w:t>en</w:t>
      </w:r>
      <w:r w:rsidRPr="004C77E8">
        <w:rPr>
          <w:rFonts w:ascii="Arial" w:hAnsi="Arial" w:cs="Arial"/>
          <w:sz w:val="20"/>
          <w:szCs w:val="20"/>
        </w:rPr>
        <w:t xml:space="preserve"> til </w:t>
      </w:r>
      <w:r w:rsidR="00857A89" w:rsidRPr="004C77E8">
        <w:rPr>
          <w:rFonts w:ascii="Arial" w:hAnsi="Arial" w:cs="Arial"/>
          <w:sz w:val="20"/>
          <w:szCs w:val="20"/>
        </w:rPr>
        <w:t>indberetter</w:t>
      </w:r>
      <w:r w:rsidRPr="004C77E8">
        <w:rPr>
          <w:rFonts w:ascii="Arial" w:hAnsi="Arial" w:cs="Arial"/>
          <w:sz w:val="20"/>
          <w:szCs w:val="20"/>
        </w:rPr>
        <w:t xml:space="preserve"> </w:t>
      </w:r>
      <w:r w:rsidR="00857A89" w:rsidRPr="004C77E8">
        <w:rPr>
          <w:rFonts w:ascii="Arial" w:hAnsi="Arial" w:cs="Arial"/>
          <w:sz w:val="20"/>
          <w:szCs w:val="20"/>
        </w:rPr>
        <w:t>for</w:t>
      </w:r>
      <w:r w:rsidRPr="004C77E8">
        <w:rPr>
          <w:rFonts w:ascii="Arial" w:hAnsi="Arial" w:cs="Arial"/>
          <w:sz w:val="20"/>
          <w:szCs w:val="20"/>
        </w:rPr>
        <w:t xml:space="preserve"> ”industriens energiforbrug”.</w:t>
      </w:r>
    </w:p>
    <w:p w:rsidR="00193025" w:rsidRPr="004C77E8" w:rsidRDefault="00193025" w:rsidP="004D007F">
      <w:pPr>
        <w:rPr>
          <w:rFonts w:ascii="Arial" w:hAnsi="Arial" w:cs="Arial"/>
          <w:b/>
          <w:sz w:val="20"/>
          <w:szCs w:val="20"/>
        </w:rPr>
      </w:pPr>
    </w:p>
    <w:p w:rsidR="00193025" w:rsidRPr="004C77E8" w:rsidRDefault="00193025" w:rsidP="004D007F">
      <w:pPr>
        <w:rPr>
          <w:rFonts w:ascii="Arial" w:hAnsi="Arial" w:cs="Arial"/>
          <w:b/>
          <w:sz w:val="20"/>
          <w:szCs w:val="20"/>
        </w:rPr>
      </w:pPr>
      <w:r w:rsidRPr="004C77E8">
        <w:rPr>
          <w:rFonts w:ascii="Arial" w:hAnsi="Arial" w:cs="Arial"/>
          <w:b/>
          <w:sz w:val="20"/>
          <w:szCs w:val="20"/>
        </w:rPr>
        <w:t>Rumopvarmning</w:t>
      </w:r>
    </w:p>
    <w:p w:rsidR="00193025" w:rsidRPr="004C77E8" w:rsidRDefault="00193025" w:rsidP="004D007F">
      <w:pPr>
        <w:rPr>
          <w:rFonts w:ascii="Arial" w:hAnsi="Arial" w:cs="Arial"/>
          <w:sz w:val="20"/>
          <w:szCs w:val="20"/>
        </w:rPr>
      </w:pPr>
      <w:r w:rsidRPr="007402DE">
        <w:rPr>
          <w:rFonts w:ascii="Arial" w:hAnsi="Arial" w:cs="Arial"/>
          <w:sz w:val="20"/>
          <w:szCs w:val="20"/>
        </w:rPr>
        <w:t xml:space="preserve">Omfatter rumopvarmning og opvarmning af brugsvand. El til belysning og apparater i husholdningerne defineres som </w:t>
      </w:r>
      <w:r w:rsidR="00D928B4" w:rsidRPr="007402DE">
        <w:rPr>
          <w:rFonts w:ascii="Arial" w:hAnsi="Arial" w:cs="Arial"/>
          <w:i/>
          <w:sz w:val="20"/>
          <w:szCs w:val="20"/>
        </w:rPr>
        <w:t>apparater</w:t>
      </w:r>
      <w:r w:rsidRPr="007402DE">
        <w:rPr>
          <w:rFonts w:ascii="Arial" w:hAnsi="Arial" w:cs="Arial"/>
          <w:sz w:val="20"/>
          <w:szCs w:val="20"/>
        </w:rPr>
        <w:t>.</w:t>
      </w:r>
      <w:r w:rsidR="00F74935">
        <w:rPr>
          <w:rFonts w:ascii="Arial" w:hAnsi="Arial" w:cs="Arial"/>
          <w:sz w:val="20"/>
          <w:szCs w:val="20"/>
        </w:rPr>
        <w:t xml:space="preserve"> </w:t>
      </w:r>
    </w:p>
    <w:p w:rsidR="00193025" w:rsidRPr="004C77E8" w:rsidRDefault="00193025" w:rsidP="004D007F">
      <w:pPr>
        <w:rPr>
          <w:rFonts w:ascii="Arial" w:hAnsi="Arial" w:cs="Arial"/>
          <w:b/>
          <w:sz w:val="20"/>
          <w:szCs w:val="20"/>
        </w:rPr>
      </w:pPr>
    </w:p>
    <w:p w:rsidR="00193025" w:rsidRPr="004C77E8" w:rsidRDefault="00193025" w:rsidP="00193025">
      <w:pPr>
        <w:pStyle w:val="Default"/>
        <w:rPr>
          <w:rFonts w:ascii="Arial" w:hAnsi="Arial" w:cs="Arial"/>
          <w:sz w:val="20"/>
          <w:szCs w:val="20"/>
        </w:rPr>
      </w:pPr>
      <w:r w:rsidRPr="004C77E8">
        <w:rPr>
          <w:rFonts w:ascii="Arial" w:hAnsi="Arial" w:cs="Arial"/>
          <w:b/>
          <w:bCs/>
          <w:sz w:val="20"/>
          <w:szCs w:val="20"/>
        </w:rPr>
        <w:t xml:space="preserve">Særlige processer </w:t>
      </w:r>
    </w:p>
    <w:p w:rsidR="00282D21" w:rsidRPr="004C77E8" w:rsidRDefault="00193025" w:rsidP="00193025">
      <w:pPr>
        <w:pStyle w:val="Default"/>
        <w:rPr>
          <w:rFonts w:ascii="Arial" w:hAnsi="Arial" w:cs="Arial"/>
          <w:sz w:val="20"/>
          <w:szCs w:val="20"/>
        </w:rPr>
      </w:pPr>
      <w:r w:rsidRPr="004C77E8">
        <w:rPr>
          <w:rFonts w:ascii="Arial" w:hAnsi="Arial" w:cs="Arial"/>
          <w:sz w:val="20"/>
          <w:szCs w:val="20"/>
        </w:rPr>
        <w:t>Særlige processer omfatter mineralogiske og metallurgiske processer samt elektrolyse og kemisk reduktion. Disse processer er oftest meget energi-intensive.</w:t>
      </w:r>
      <w:r w:rsidR="00282D21" w:rsidRPr="004C77E8">
        <w:rPr>
          <w:rFonts w:ascii="Arial" w:hAnsi="Arial" w:cs="Arial"/>
          <w:sz w:val="20"/>
          <w:szCs w:val="20"/>
        </w:rPr>
        <w:t xml:space="preserve"> Definition af særlige processer har stort set mistet sin betydning efter ændring af love</w:t>
      </w:r>
      <w:r w:rsidR="002B100B" w:rsidRPr="004C77E8">
        <w:rPr>
          <w:rFonts w:ascii="Arial" w:hAnsi="Arial" w:cs="Arial"/>
          <w:sz w:val="20"/>
          <w:szCs w:val="20"/>
        </w:rPr>
        <w:t>n</w:t>
      </w:r>
      <w:r w:rsidR="00282D21" w:rsidRPr="004C77E8">
        <w:rPr>
          <w:rFonts w:ascii="Arial" w:hAnsi="Arial" w:cs="Arial"/>
          <w:sz w:val="20"/>
          <w:szCs w:val="20"/>
        </w:rPr>
        <w:t xml:space="preserve"> i 2013).</w:t>
      </w:r>
    </w:p>
    <w:p w:rsidR="00282D21" w:rsidRPr="004C77E8" w:rsidRDefault="00282D21" w:rsidP="00193025">
      <w:pPr>
        <w:pStyle w:val="Default"/>
        <w:rPr>
          <w:rFonts w:ascii="Arial" w:hAnsi="Arial" w:cs="Arial"/>
          <w:sz w:val="20"/>
          <w:szCs w:val="20"/>
        </w:rPr>
      </w:pPr>
      <w:r w:rsidRPr="004C77E8">
        <w:rPr>
          <w:rFonts w:ascii="Arial" w:hAnsi="Arial" w:cs="Arial"/>
          <w:sz w:val="20"/>
          <w:szCs w:val="20"/>
        </w:rPr>
        <w:t>Der kan dog opnås et bundfradrag i CO2-afgiften, hvis den er omfattet</w:t>
      </w:r>
      <w:r w:rsidR="002B100B" w:rsidRPr="004C77E8">
        <w:rPr>
          <w:rFonts w:ascii="Arial" w:hAnsi="Arial" w:cs="Arial"/>
          <w:sz w:val="20"/>
          <w:szCs w:val="20"/>
        </w:rPr>
        <w:t xml:space="preserve"> af de særlige processer</w:t>
      </w:r>
      <w:r w:rsidRPr="004C77E8">
        <w:rPr>
          <w:rFonts w:ascii="Arial" w:hAnsi="Arial" w:cs="Arial"/>
          <w:sz w:val="20"/>
          <w:szCs w:val="20"/>
        </w:rPr>
        <w:t>.</w:t>
      </w:r>
    </w:p>
    <w:p w:rsidR="004640C2" w:rsidRPr="004C77E8" w:rsidRDefault="004640C2" w:rsidP="00193025">
      <w:pPr>
        <w:pStyle w:val="Default"/>
        <w:rPr>
          <w:rFonts w:ascii="Arial" w:hAnsi="Arial" w:cs="Arial"/>
          <w:sz w:val="20"/>
          <w:szCs w:val="20"/>
        </w:rPr>
      </w:pPr>
      <w:r w:rsidRPr="004C77E8">
        <w:rPr>
          <w:rFonts w:ascii="Arial" w:hAnsi="Arial" w:cs="Arial"/>
          <w:sz w:val="20"/>
          <w:szCs w:val="20"/>
        </w:rPr>
        <w:t xml:space="preserve">Disse processer ligger primært i fremstillingserhvervene. Væksthuse (over 200m2) er dog også defineret som særlig proces. </w:t>
      </w:r>
    </w:p>
    <w:p w:rsidR="00193025" w:rsidRPr="004C77E8" w:rsidRDefault="00282D21" w:rsidP="00193025">
      <w:pPr>
        <w:pStyle w:val="Default"/>
        <w:rPr>
          <w:rFonts w:ascii="Arial" w:hAnsi="Arial" w:cs="Arial"/>
          <w:sz w:val="20"/>
          <w:szCs w:val="20"/>
        </w:rPr>
      </w:pPr>
      <w:r w:rsidRPr="004C77E8">
        <w:rPr>
          <w:rFonts w:ascii="Arial" w:hAnsi="Arial" w:cs="Arial"/>
          <w:sz w:val="20"/>
          <w:szCs w:val="20"/>
        </w:rPr>
        <w:t xml:space="preserve">Derudover er fremstilling af elektricitet og fjernvarme her defineret som særlige processer i det omfang, det ikke er kvoteomfattet. </w:t>
      </w:r>
      <w:r w:rsidR="004640C2" w:rsidRPr="004C77E8">
        <w:rPr>
          <w:rFonts w:ascii="Arial" w:hAnsi="Arial" w:cs="Arial"/>
          <w:sz w:val="20"/>
          <w:szCs w:val="20"/>
        </w:rPr>
        <w:br/>
      </w:r>
    </w:p>
    <w:p w:rsidR="00193025" w:rsidRPr="004C77E8" w:rsidRDefault="00193025" w:rsidP="00193025">
      <w:pPr>
        <w:pStyle w:val="Default"/>
        <w:rPr>
          <w:rFonts w:ascii="Arial" w:hAnsi="Arial" w:cs="Arial"/>
          <w:sz w:val="20"/>
          <w:szCs w:val="20"/>
        </w:rPr>
      </w:pPr>
      <w:r w:rsidRPr="004C77E8">
        <w:rPr>
          <w:rFonts w:ascii="Arial" w:hAnsi="Arial" w:cs="Arial"/>
          <w:b/>
          <w:bCs/>
          <w:sz w:val="20"/>
          <w:szCs w:val="20"/>
        </w:rPr>
        <w:t xml:space="preserve">Almindelige processer </w:t>
      </w:r>
    </w:p>
    <w:p w:rsidR="00193025" w:rsidRPr="004C77E8" w:rsidRDefault="00193025" w:rsidP="00193025">
      <w:pPr>
        <w:rPr>
          <w:rFonts w:ascii="Arial" w:hAnsi="Arial" w:cs="Arial"/>
          <w:sz w:val="20"/>
          <w:szCs w:val="20"/>
        </w:rPr>
      </w:pPr>
      <w:r w:rsidRPr="004C77E8">
        <w:rPr>
          <w:rFonts w:ascii="Arial" w:hAnsi="Arial" w:cs="Arial"/>
          <w:sz w:val="20"/>
          <w:szCs w:val="20"/>
        </w:rPr>
        <w:t>Energiforbrug som ikke anvendes til opvarmning eller til særlige processer angives som almindelige proces. Der er fx tale om øvrig drift af maskiner og produktionsanlæg samt belysning.</w:t>
      </w:r>
    </w:p>
    <w:p w:rsidR="00193025" w:rsidRPr="004C77E8" w:rsidRDefault="00193025" w:rsidP="00193025">
      <w:pPr>
        <w:rPr>
          <w:rFonts w:ascii="Arial" w:hAnsi="Arial" w:cs="Arial"/>
          <w:sz w:val="20"/>
          <w:szCs w:val="20"/>
        </w:rPr>
      </w:pPr>
    </w:p>
    <w:p w:rsidR="00193025" w:rsidRPr="004C77E8" w:rsidRDefault="000A6724" w:rsidP="00193025">
      <w:pPr>
        <w:rPr>
          <w:rFonts w:ascii="Arial" w:hAnsi="Arial" w:cs="Arial"/>
          <w:b/>
          <w:sz w:val="20"/>
          <w:szCs w:val="20"/>
        </w:rPr>
      </w:pPr>
      <w:r w:rsidRPr="004C77E8">
        <w:rPr>
          <w:rFonts w:ascii="Arial" w:hAnsi="Arial" w:cs="Arial"/>
          <w:b/>
          <w:sz w:val="20"/>
          <w:szCs w:val="20"/>
        </w:rPr>
        <w:t>T</w:t>
      </w:r>
      <w:r w:rsidR="00193025" w:rsidRPr="004C77E8">
        <w:rPr>
          <w:rFonts w:ascii="Arial" w:hAnsi="Arial" w:cs="Arial"/>
          <w:b/>
          <w:sz w:val="20"/>
          <w:szCs w:val="20"/>
        </w:rPr>
        <w:t>ransport</w:t>
      </w:r>
    </w:p>
    <w:p w:rsidR="00193025" w:rsidRPr="004C77E8" w:rsidRDefault="00282D21" w:rsidP="004D007F">
      <w:pPr>
        <w:rPr>
          <w:rFonts w:ascii="Arial" w:hAnsi="Arial" w:cs="Arial"/>
          <w:sz w:val="20"/>
          <w:szCs w:val="20"/>
        </w:rPr>
      </w:pPr>
      <w:r w:rsidRPr="004C77E8">
        <w:rPr>
          <w:rFonts w:ascii="Arial" w:hAnsi="Arial" w:cs="Arial"/>
          <w:sz w:val="20"/>
          <w:szCs w:val="20"/>
        </w:rPr>
        <w:t xml:space="preserve">Energivarer anvendt til transport. </w:t>
      </w:r>
      <w:r w:rsidR="000A6724" w:rsidRPr="004C77E8">
        <w:rPr>
          <w:rFonts w:ascii="Arial" w:hAnsi="Arial" w:cs="Arial"/>
          <w:sz w:val="20"/>
          <w:szCs w:val="20"/>
        </w:rPr>
        <w:t xml:space="preserve">Energivarer anvendt til vejtransport </w:t>
      </w:r>
      <w:r w:rsidRPr="004C77E8">
        <w:rPr>
          <w:rFonts w:ascii="Arial" w:hAnsi="Arial" w:cs="Arial"/>
          <w:sz w:val="20"/>
          <w:szCs w:val="20"/>
        </w:rPr>
        <w:t xml:space="preserve">er i forvejen udskilt som bestemte varer. </w:t>
      </w:r>
      <w:r w:rsidR="000A6724" w:rsidRPr="004C77E8">
        <w:rPr>
          <w:rFonts w:ascii="Arial" w:hAnsi="Arial" w:cs="Arial"/>
          <w:sz w:val="20"/>
          <w:szCs w:val="20"/>
        </w:rPr>
        <w:t>Derudover brændstof til skibe og fly.</w:t>
      </w:r>
    </w:p>
    <w:p w:rsidR="00282D21" w:rsidRPr="004C77E8" w:rsidRDefault="00282D21" w:rsidP="004D007F">
      <w:pPr>
        <w:rPr>
          <w:rFonts w:ascii="Arial" w:hAnsi="Arial" w:cs="Arial"/>
          <w:sz w:val="20"/>
          <w:szCs w:val="20"/>
        </w:rPr>
      </w:pPr>
    </w:p>
    <w:p w:rsidR="00282D21" w:rsidRPr="004C77E8" w:rsidRDefault="00282D21" w:rsidP="00282D21">
      <w:pPr>
        <w:rPr>
          <w:rFonts w:ascii="Arial" w:hAnsi="Arial" w:cs="Arial"/>
          <w:b/>
          <w:sz w:val="20"/>
          <w:szCs w:val="20"/>
        </w:rPr>
      </w:pPr>
      <w:r w:rsidRPr="004C77E8">
        <w:rPr>
          <w:rFonts w:ascii="Arial" w:hAnsi="Arial" w:cs="Arial"/>
          <w:b/>
          <w:sz w:val="20"/>
          <w:szCs w:val="20"/>
        </w:rPr>
        <w:t>Kvoteomfattet</w:t>
      </w:r>
    </w:p>
    <w:p w:rsidR="00282D21" w:rsidRPr="004C77E8" w:rsidRDefault="00CD36F4" w:rsidP="00282D21">
      <w:pPr>
        <w:rPr>
          <w:rFonts w:ascii="Arial" w:hAnsi="Arial" w:cs="Arial"/>
          <w:sz w:val="20"/>
          <w:szCs w:val="20"/>
        </w:rPr>
      </w:pPr>
      <w:r w:rsidRPr="004C77E8">
        <w:rPr>
          <w:rFonts w:ascii="Arial" w:hAnsi="Arial" w:cs="Arial"/>
          <w:sz w:val="20"/>
          <w:szCs w:val="20"/>
        </w:rPr>
        <w:t>Det kvoteomfattede forbrug af energivarer er baseret på oplysninger om kvoteomfattet forbrug.</w:t>
      </w:r>
    </w:p>
    <w:p w:rsidR="00282D21" w:rsidRPr="004C77E8" w:rsidRDefault="00282D21" w:rsidP="00282D21">
      <w:pPr>
        <w:rPr>
          <w:rFonts w:ascii="Arial" w:hAnsi="Arial" w:cs="Arial"/>
          <w:b/>
          <w:sz w:val="20"/>
          <w:szCs w:val="20"/>
        </w:rPr>
      </w:pPr>
    </w:p>
    <w:p w:rsidR="00282D21" w:rsidRPr="004C77E8" w:rsidRDefault="00CD36F4" w:rsidP="00282D21">
      <w:pPr>
        <w:rPr>
          <w:rFonts w:ascii="Arial" w:hAnsi="Arial" w:cs="Arial"/>
          <w:b/>
          <w:sz w:val="20"/>
          <w:szCs w:val="20"/>
        </w:rPr>
      </w:pPr>
      <w:r w:rsidRPr="004C77E8">
        <w:rPr>
          <w:rFonts w:ascii="Arial" w:hAnsi="Arial" w:cs="Arial"/>
          <w:b/>
          <w:sz w:val="20"/>
          <w:szCs w:val="20"/>
        </w:rPr>
        <w:t>Forarbejdning</w:t>
      </w:r>
    </w:p>
    <w:p w:rsidR="00282D21" w:rsidRPr="004C77E8" w:rsidRDefault="00CD36F4" w:rsidP="00282D21">
      <w:pPr>
        <w:rPr>
          <w:rFonts w:ascii="Arial" w:hAnsi="Arial" w:cs="Arial"/>
          <w:sz w:val="20"/>
          <w:szCs w:val="20"/>
        </w:rPr>
      </w:pPr>
      <w:r w:rsidRPr="004C77E8">
        <w:rPr>
          <w:rFonts w:ascii="Arial" w:hAnsi="Arial" w:cs="Arial"/>
          <w:sz w:val="20"/>
          <w:szCs w:val="20"/>
        </w:rPr>
        <w:t>Energivarer, der indgår som råvare ved fremstilling af andre energivarer. Dette gælder især råolie, der bruges af raffinaderier til fremstilling af andre olieprodukter.</w:t>
      </w:r>
      <w:r w:rsidR="00B727D4" w:rsidRPr="004C77E8">
        <w:rPr>
          <w:rFonts w:ascii="Arial" w:hAnsi="Arial" w:cs="Arial"/>
          <w:sz w:val="20"/>
          <w:szCs w:val="20"/>
        </w:rPr>
        <w:t xml:space="preserve"> Disse defineres også </w:t>
      </w:r>
      <w:r w:rsidR="009345CD" w:rsidRPr="004C77E8">
        <w:rPr>
          <w:rFonts w:ascii="Arial" w:hAnsi="Arial" w:cs="Arial"/>
          <w:sz w:val="20"/>
          <w:szCs w:val="20"/>
        </w:rPr>
        <w:t xml:space="preserve">her </w:t>
      </w:r>
      <w:r w:rsidR="00B727D4" w:rsidRPr="004C77E8">
        <w:rPr>
          <w:rFonts w:ascii="Arial" w:hAnsi="Arial" w:cs="Arial"/>
          <w:sz w:val="20"/>
          <w:szCs w:val="20"/>
        </w:rPr>
        <w:t>som særlig proces.</w:t>
      </w:r>
    </w:p>
    <w:p w:rsidR="00282D21" w:rsidRPr="004C77E8" w:rsidRDefault="00282D21" w:rsidP="004D007F">
      <w:pPr>
        <w:rPr>
          <w:rFonts w:ascii="Arial" w:hAnsi="Arial" w:cs="Arial"/>
          <w:sz w:val="20"/>
          <w:szCs w:val="20"/>
        </w:rPr>
      </w:pPr>
    </w:p>
    <w:p w:rsidR="00193025" w:rsidRPr="004C77E8" w:rsidRDefault="00193025" w:rsidP="004D007F">
      <w:pPr>
        <w:rPr>
          <w:rFonts w:ascii="Arial" w:hAnsi="Arial" w:cs="Arial"/>
          <w:b/>
          <w:sz w:val="20"/>
          <w:szCs w:val="20"/>
        </w:rPr>
      </w:pPr>
    </w:p>
    <w:p w:rsidR="004D007F" w:rsidRPr="004C77E8" w:rsidRDefault="00830E70" w:rsidP="004D007F">
      <w:pPr>
        <w:rPr>
          <w:rFonts w:ascii="Arial" w:hAnsi="Arial" w:cs="Arial"/>
          <w:b/>
          <w:sz w:val="20"/>
          <w:szCs w:val="20"/>
        </w:rPr>
      </w:pPr>
      <w:r w:rsidRPr="004C77E8">
        <w:rPr>
          <w:rFonts w:ascii="Arial" w:hAnsi="Arial" w:cs="Arial"/>
          <w:b/>
          <w:sz w:val="20"/>
          <w:szCs w:val="20"/>
        </w:rPr>
        <w:t>Metode</w:t>
      </w:r>
      <w:r w:rsidR="00AC0EAB" w:rsidRPr="004C77E8">
        <w:rPr>
          <w:rFonts w:ascii="Arial" w:hAnsi="Arial" w:cs="Arial"/>
          <w:b/>
          <w:sz w:val="20"/>
          <w:szCs w:val="20"/>
        </w:rPr>
        <w:t>r</w:t>
      </w:r>
    </w:p>
    <w:p w:rsidR="00AC0EAB" w:rsidRPr="004C77E8" w:rsidRDefault="00AC0EAB" w:rsidP="004D007F">
      <w:pPr>
        <w:rPr>
          <w:rFonts w:ascii="Arial" w:hAnsi="Arial" w:cs="Arial"/>
          <w:b/>
          <w:sz w:val="20"/>
          <w:szCs w:val="20"/>
        </w:rPr>
      </w:pPr>
    </w:p>
    <w:p w:rsidR="00AC0EAB" w:rsidRPr="004C77E8" w:rsidRDefault="00AC0EAB" w:rsidP="004D007F">
      <w:pPr>
        <w:rPr>
          <w:rFonts w:ascii="Arial" w:hAnsi="Arial" w:cs="Arial"/>
          <w:b/>
          <w:sz w:val="20"/>
          <w:szCs w:val="20"/>
        </w:rPr>
      </w:pPr>
      <w:r w:rsidRPr="004C77E8">
        <w:rPr>
          <w:rFonts w:ascii="Arial" w:hAnsi="Arial" w:cs="Arial"/>
          <w:b/>
          <w:sz w:val="20"/>
          <w:szCs w:val="20"/>
        </w:rPr>
        <w:t>Industriens energiforbrug</w:t>
      </w:r>
    </w:p>
    <w:p w:rsidR="00830E70" w:rsidRPr="004C77E8" w:rsidRDefault="00830E70" w:rsidP="004D007F">
      <w:pPr>
        <w:rPr>
          <w:rFonts w:ascii="Arial" w:hAnsi="Arial" w:cs="Arial"/>
          <w:sz w:val="20"/>
          <w:szCs w:val="20"/>
        </w:rPr>
      </w:pPr>
      <w:r w:rsidRPr="004C77E8">
        <w:rPr>
          <w:rFonts w:ascii="Arial" w:hAnsi="Arial" w:cs="Arial"/>
          <w:sz w:val="20"/>
          <w:szCs w:val="20"/>
        </w:rPr>
        <w:t>Data fra spørgeskemaundersøgelsen Industriens Energiforbrug bruges til at beregne forholdet mellem formålene rumopvarmning, særlig proces og almindelig proces. Dette suppleres med informationer om kvotebelagte virksomheders energiforbrug.</w:t>
      </w:r>
    </w:p>
    <w:p w:rsidR="006D0F78" w:rsidRPr="004C77E8" w:rsidRDefault="006D0F78" w:rsidP="004D007F">
      <w:pPr>
        <w:rPr>
          <w:rFonts w:ascii="Arial" w:hAnsi="Arial" w:cs="Arial"/>
          <w:sz w:val="20"/>
          <w:szCs w:val="20"/>
        </w:rPr>
      </w:pPr>
      <w:r w:rsidRPr="004C77E8">
        <w:rPr>
          <w:rFonts w:ascii="Arial" w:hAnsi="Arial" w:cs="Arial"/>
          <w:sz w:val="20"/>
          <w:szCs w:val="20"/>
        </w:rPr>
        <w:lastRenderedPageBreak/>
        <w:t xml:space="preserve">Energi fra varmepumper er fordelt med en fast fordelingsnøgle i energiregnskabet. </w:t>
      </w:r>
      <w:r w:rsidR="000A6724" w:rsidRPr="004C77E8">
        <w:rPr>
          <w:rFonts w:ascii="Arial" w:hAnsi="Arial" w:cs="Arial"/>
          <w:sz w:val="20"/>
          <w:szCs w:val="20"/>
        </w:rPr>
        <w:t>Fordeling af energi fra v</w:t>
      </w:r>
      <w:r w:rsidRPr="004C77E8">
        <w:rPr>
          <w:rFonts w:ascii="Arial" w:hAnsi="Arial" w:cs="Arial"/>
          <w:sz w:val="20"/>
          <w:szCs w:val="20"/>
        </w:rPr>
        <w:t xml:space="preserve">armepumper </w:t>
      </w:r>
      <w:r w:rsidR="000A6724" w:rsidRPr="004C77E8">
        <w:rPr>
          <w:rFonts w:ascii="Arial" w:hAnsi="Arial" w:cs="Arial"/>
          <w:sz w:val="20"/>
          <w:szCs w:val="20"/>
        </w:rPr>
        <w:t>er fordelt</w:t>
      </w:r>
      <w:r w:rsidRPr="004C77E8">
        <w:rPr>
          <w:rFonts w:ascii="Arial" w:hAnsi="Arial" w:cs="Arial"/>
          <w:sz w:val="20"/>
          <w:szCs w:val="20"/>
        </w:rPr>
        <w:t xml:space="preserve"> som el.</w:t>
      </w:r>
    </w:p>
    <w:p w:rsidR="00AC0EAB" w:rsidRPr="004C77E8" w:rsidRDefault="00AC0EAB" w:rsidP="004D007F">
      <w:pPr>
        <w:rPr>
          <w:rFonts w:ascii="Arial" w:hAnsi="Arial" w:cs="Arial"/>
          <w:sz w:val="20"/>
          <w:szCs w:val="20"/>
        </w:rPr>
      </w:pPr>
      <w:r w:rsidRPr="004C77E8">
        <w:rPr>
          <w:rFonts w:ascii="Arial" w:hAnsi="Arial" w:cs="Arial"/>
          <w:sz w:val="20"/>
          <w:szCs w:val="20"/>
        </w:rPr>
        <w:t>For varer, der ikke indgår i industritællingen for 201</w:t>
      </w:r>
      <w:r w:rsidR="007402DE">
        <w:rPr>
          <w:rFonts w:ascii="Arial" w:hAnsi="Arial" w:cs="Arial"/>
          <w:sz w:val="20"/>
          <w:szCs w:val="20"/>
        </w:rPr>
        <w:t>8</w:t>
      </w:r>
      <w:r w:rsidRPr="004C77E8">
        <w:rPr>
          <w:rFonts w:ascii="Arial" w:hAnsi="Arial" w:cs="Arial"/>
          <w:sz w:val="20"/>
          <w:szCs w:val="20"/>
        </w:rPr>
        <w:t xml:space="preserve">, laves en fordeling ud fra </w:t>
      </w:r>
      <w:r w:rsidR="000A6724" w:rsidRPr="004C77E8">
        <w:rPr>
          <w:rFonts w:ascii="Arial" w:hAnsi="Arial" w:cs="Arial"/>
          <w:sz w:val="20"/>
          <w:szCs w:val="20"/>
        </w:rPr>
        <w:t xml:space="preserve">den vare som ligner mest. Antagelsen er at </w:t>
      </w:r>
      <w:proofErr w:type="spellStart"/>
      <w:r w:rsidR="000A6724" w:rsidRPr="004C77E8">
        <w:rPr>
          <w:rFonts w:ascii="Arial" w:hAnsi="Arial" w:cs="Arial"/>
          <w:sz w:val="20"/>
          <w:szCs w:val="20"/>
        </w:rPr>
        <w:t>indberetterne</w:t>
      </w:r>
      <w:proofErr w:type="spellEnd"/>
      <w:r w:rsidR="000A6724" w:rsidRPr="004C77E8">
        <w:rPr>
          <w:rFonts w:ascii="Arial" w:hAnsi="Arial" w:cs="Arial"/>
          <w:sz w:val="20"/>
          <w:szCs w:val="20"/>
        </w:rPr>
        <w:t xml:space="preserve"> har fordelt hele deres energiforbrug på de varer, der er angivet i spørgeskemaet. I tilfælde, hvor de ikke kan finde en vare, antages derfor, at der er indberettet på den vare, der ligner mest.</w:t>
      </w:r>
    </w:p>
    <w:p w:rsidR="00AC0EAB" w:rsidRPr="004C77E8" w:rsidRDefault="00AC0EAB" w:rsidP="004D007F">
      <w:pPr>
        <w:rPr>
          <w:rFonts w:ascii="Arial" w:hAnsi="Arial" w:cs="Arial"/>
          <w:sz w:val="20"/>
          <w:szCs w:val="20"/>
        </w:rPr>
      </w:pPr>
    </w:p>
    <w:p w:rsidR="00AC0EAB" w:rsidRPr="004C77E8" w:rsidRDefault="00AC0EAB" w:rsidP="004D007F">
      <w:pPr>
        <w:rPr>
          <w:rFonts w:ascii="Arial" w:hAnsi="Arial" w:cs="Arial"/>
          <w:b/>
          <w:sz w:val="20"/>
          <w:szCs w:val="20"/>
        </w:rPr>
      </w:pPr>
      <w:r w:rsidRPr="004C77E8">
        <w:rPr>
          <w:rFonts w:ascii="Arial" w:hAnsi="Arial" w:cs="Arial"/>
          <w:b/>
          <w:sz w:val="20"/>
          <w:szCs w:val="20"/>
        </w:rPr>
        <w:t>Afgifter</w:t>
      </w:r>
    </w:p>
    <w:p w:rsidR="00AB3D56" w:rsidRPr="004C77E8" w:rsidRDefault="00AB3D56" w:rsidP="004D007F">
      <w:pPr>
        <w:rPr>
          <w:rFonts w:ascii="Arial" w:hAnsi="Arial" w:cs="Arial"/>
          <w:sz w:val="20"/>
          <w:szCs w:val="20"/>
        </w:rPr>
      </w:pPr>
      <w:r w:rsidRPr="004C77E8">
        <w:rPr>
          <w:rFonts w:ascii="Arial" w:hAnsi="Arial" w:cs="Arial"/>
          <w:sz w:val="20"/>
          <w:szCs w:val="20"/>
        </w:rPr>
        <w:t xml:space="preserve">Energiafgifter af processer antages som udgangspunkt at være </w:t>
      </w:r>
      <w:proofErr w:type="spellStart"/>
      <w:r w:rsidRPr="004C77E8">
        <w:rPr>
          <w:rFonts w:ascii="Arial" w:hAnsi="Arial" w:cs="Arial"/>
          <w:sz w:val="20"/>
          <w:szCs w:val="20"/>
        </w:rPr>
        <w:t>refunderbare</w:t>
      </w:r>
      <w:proofErr w:type="spellEnd"/>
      <w:r w:rsidRPr="004C77E8">
        <w:rPr>
          <w:rFonts w:ascii="Arial" w:hAnsi="Arial" w:cs="Arial"/>
          <w:sz w:val="20"/>
          <w:szCs w:val="20"/>
        </w:rPr>
        <w:t>.</w:t>
      </w:r>
    </w:p>
    <w:p w:rsidR="00AB3D56" w:rsidRPr="004C77E8" w:rsidRDefault="0014783C" w:rsidP="000A6724">
      <w:pPr>
        <w:rPr>
          <w:rFonts w:ascii="Arial" w:hAnsi="Arial" w:cs="Arial"/>
          <w:sz w:val="20"/>
          <w:szCs w:val="20"/>
        </w:rPr>
      </w:pPr>
      <w:r w:rsidRPr="004C77E8">
        <w:rPr>
          <w:rFonts w:ascii="Arial" w:hAnsi="Arial" w:cs="Arial"/>
          <w:sz w:val="20"/>
          <w:szCs w:val="20"/>
        </w:rPr>
        <w:t>Afgifter</w:t>
      </w:r>
      <w:r w:rsidR="000A6724" w:rsidRPr="004C77E8">
        <w:rPr>
          <w:rFonts w:ascii="Arial" w:hAnsi="Arial" w:cs="Arial"/>
          <w:sz w:val="20"/>
          <w:szCs w:val="20"/>
        </w:rPr>
        <w:t>ne</w:t>
      </w:r>
      <w:r w:rsidRPr="004C77E8">
        <w:rPr>
          <w:rFonts w:ascii="Arial" w:hAnsi="Arial" w:cs="Arial"/>
          <w:sz w:val="20"/>
          <w:szCs w:val="20"/>
        </w:rPr>
        <w:t xml:space="preserve"> </w:t>
      </w:r>
      <w:r w:rsidR="000A6724" w:rsidRPr="004C77E8">
        <w:rPr>
          <w:rFonts w:ascii="Arial" w:hAnsi="Arial" w:cs="Arial"/>
          <w:sz w:val="20"/>
          <w:szCs w:val="20"/>
        </w:rPr>
        <w:t>er genberegnet og fordelt</w:t>
      </w:r>
      <w:r w:rsidRPr="004C77E8">
        <w:rPr>
          <w:rFonts w:ascii="Arial" w:hAnsi="Arial" w:cs="Arial"/>
          <w:sz w:val="20"/>
          <w:szCs w:val="20"/>
        </w:rPr>
        <w:t xml:space="preserve"> ud</w:t>
      </w:r>
      <w:r w:rsidR="00F1757B" w:rsidRPr="004C77E8">
        <w:rPr>
          <w:rFonts w:ascii="Arial" w:hAnsi="Arial" w:cs="Arial"/>
          <w:sz w:val="20"/>
          <w:szCs w:val="20"/>
        </w:rPr>
        <w:t xml:space="preserve"> fra</w:t>
      </w:r>
      <w:r w:rsidRPr="004C77E8">
        <w:rPr>
          <w:rFonts w:ascii="Arial" w:hAnsi="Arial" w:cs="Arial"/>
          <w:sz w:val="20"/>
          <w:szCs w:val="20"/>
        </w:rPr>
        <w:t xml:space="preserve"> satserne for refusion inden for forskellige formål.</w:t>
      </w:r>
      <w:r w:rsidR="000A6724" w:rsidRPr="004C77E8">
        <w:rPr>
          <w:rFonts w:ascii="Arial" w:hAnsi="Arial" w:cs="Arial"/>
          <w:sz w:val="20"/>
          <w:szCs w:val="20"/>
        </w:rPr>
        <w:t xml:space="preserve"> </w:t>
      </w:r>
    </w:p>
    <w:p w:rsidR="00D57FC4" w:rsidRPr="004C77E8" w:rsidRDefault="00D57FC4" w:rsidP="004D007F">
      <w:pPr>
        <w:rPr>
          <w:rFonts w:ascii="Arial" w:hAnsi="Arial" w:cs="Arial"/>
          <w:sz w:val="20"/>
          <w:szCs w:val="20"/>
        </w:rPr>
      </w:pPr>
    </w:p>
    <w:p w:rsidR="00AC0EAB" w:rsidRPr="004C77E8" w:rsidRDefault="00AC0EAB" w:rsidP="004D007F">
      <w:pPr>
        <w:rPr>
          <w:rFonts w:ascii="Arial" w:hAnsi="Arial" w:cs="Arial"/>
          <w:b/>
          <w:sz w:val="20"/>
          <w:szCs w:val="20"/>
        </w:rPr>
      </w:pPr>
      <w:r w:rsidRPr="004C77E8">
        <w:rPr>
          <w:rFonts w:ascii="Arial" w:hAnsi="Arial" w:cs="Arial"/>
          <w:b/>
          <w:sz w:val="20"/>
          <w:szCs w:val="20"/>
        </w:rPr>
        <w:t>Kvoter</w:t>
      </w:r>
    </w:p>
    <w:p w:rsidR="00D57FC4" w:rsidRPr="004C77E8" w:rsidRDefault="00D57FC4" w:rsidP="004D007F">
      <w:pPr>
        <w:rPr>
          <w:rFonts w:ascii="Arial" w:hAnsi="Arial" w:cs="Arial"/>
          <w:sz w:val="20"/>
          <w:szCs w:val="20"/>
        </w:rPr>
      </w:pPr>
      <w:r w:rsidRPr="004C77E8">
        <w:rPr>
          <w:rFonts w:ascii="Arial" w:hAnsi="Arial" w:cs="Arial"/>
          <w:sz w:val="20"/>
          <w:szCs w:val="20"/>
        </w:rPr>
        <w:t>Det kvoteomfattede forbrug kommer fra dataleverance til DST fra Energidata Online som er Energistyrelsens indberetningssystem.</w:t>
      </w:r>
    </w:p>
    <w:p w:rsidR="00AB3D56" w:rsidRPr="004C77E8" w:rsidRDefault="007402DE" w:rsidP="007402DE">
      <w:pPr>
        <w:rPr>
          <w:rFonts w:ascii="Arial" w:hAnsi="Arial" w:cs="Arial"/>
          <w:sz w:val="20"/>
          <w:szCs w:val="20"/>
        </w:rPr>
      </w:pPr>
      <w:r>
        <w:rPr>
          <w:rFonts w:ascii="Arial" w:hAnsi="Arial" w:cs="Arial"/>
          <w:sz w:val="20"/>
          <w:szCs w:val="20"/>
        </w:rPr>
        <w:t xml:space="preserve">Det kvoteomfattede forbrug er modregnet i de øvrige processer inden for råstofudvikling og fremstillingserhverv. Ud fra Industriens Energiforbrug er der for de enkelte kvoteomfattede virksomheder fundet en fordeling af de kvoteomfattede forbrug. For øvrige brancher </w:t>
      </w:r>
      <w:r w:rsidR="00146064" w:rsidRPr="004C77E8">
        <w:rPr>
          <w:rFonts w:ascii="Arial" w:hAnsi="Arial" w:cs="Arial"/>
          <w:sz w:val="20"/>
          <w:szCs w:val="20"/>
        </w:rPr>
        <w:t>antages at det kvoteomfattede forbrug omfatter særlig</w:t>
      </w:r>
      <w:r w:rsidR="00DA2085" w:rsidRPr="004C77E8">
        <w:rPr>
          <w:rFonts w:ascii="Arial" w:hAnsi="Arial" w:cs="Arial"/>
          <w:sz w:val="20"/>
          <w:szCs w:val="20"/>
        </w:rPr>
        <w:t xml:space="preserve"> energitunge</w:t>
      </w:r>
      <w:r w:rsidR="00146064" w:rsidRPr="004C77E8">
        <w:rPr>
          <w:rFonts w:ascii="Arial" w:hAnsi="Arial" w:cs="Arial"/>
          <w:sz w:val="20"/>
          <w:szCs w:val="20"/>
        </w:rPr>
        <w:t xml:space="preserve"> processer. </w:t>
      </w:r>
      <w:r w:rsidR="00F1757B" w:rsidRPr="004C77E8">
        <w:rPr>
          <w:rFonts w:ascii="Arial" w:hAnsi="Arial" w:cs="Arial"/>
          <w:sz w:val="20"/>
          <w:szCs w:val="20"/>
        </w:rPr>
        <w:t>I det omfang, det</w:t>
      </w:r>
      <w:r w:rsidR="00146064" w:rsidRPr="004C77E8">
        <w:rPr>
          <w:rFonts w:ascii="Arial" w:hAnsi="Arial" w:cs="Arial"/>
          <w:sz w:val="20"/>
          <w:szCs w:val="20"/>
        </w:rPr>
        <w:t xml:space="preserve"> kvoteomfattede forbrug overstiger branchens forbrug til særlige processer</w:t>
      </w:r>
      <w:r w:rsidR="00F1757B" w:rsidRPr="004C77E8">
        <w:rPr>
          <w:rFonts w:ascii="Arial" w:hAnsi="Arial" w:cs="Arial"/>
          <w:sz w:val="20"/>
          <w:szCs w:val="20"/>
        </w:rPr>
        <w:t xml:space="preserve">, </w:t>
      </w:r>
      <w:r w:rsidR="000A6724" w:rsidRPr="004C77E8">
        <w:rPr>
          <w:rFonts w:ascii="Arial" w:hAnsi="Arial" w:cs="Arial"/>
          <w:sz w:val="20"/>
          <w:szCs w:val="20"/>
        </w:rPr>
        <w:t xml:space="preserve">er det trukket </w:t>
      </w:r>
      <w:r w:rsidR="00F1757B" w:rsidRPr="004C77E8">
        <w:rPr>
          <w:rFonts w:ascii="Arial" w:hAnsi="Arial" w:cs="Arial"/>
          <w:sz w:val="20"/>
          <w:szCs w:val="20"/>
        </w:rPr>
        <w:t xml:space="preserve">fra almindelige processer og er der fortsat en </w:t>
      </w:r>
      <w:proofErr w:type="spellStart"/>
      <w:r w:rsidR="00F1757B" w:rsidRPr="004C77E8">
        <w:rPr>
          <w:rFonts w:ascii="Arial" w:hAnsi="Arial" w:cs="Arial"/>
          <w:sz w:val="20"/>
          <w:szCs w:val="20"/>
        </w:rPr>
        <w:t>residual</w:t>
      </w:r>
      <w:proofErr w:type="spellEnd"/>
      <w:r w:rsidR="00F1757B" w:rsidRPr="004C77E8">
        <w:rPr>
          <w:rFonts w:ascii="Arial" w:hAnsi="Arial" w:cs="Arial"/>
          <w:sz w:val="20"/>
          <w:szCs w:val="20"/>
        </w:rPr>
        <w:t xml:space="preserve"> modregnes den i rumvarme</w:t>
      </w:r>
      <w:r w:rsidR="00146064" w:rsidRPr="004C77E8">
        <w:rPr>
          <w:rFonts w:ascii="Arial" w:hAnsi="Arial" w:cs="Arial"/>
          <w:sz w:val="20"/>
          <w:szCs w:val="20"/>
        </w:rPr>
        <w:t>.</w:t>
      </w:r>
      <w:r w:rsidR="0014783C" w:rsidRPr="004C77E8">
        <w:rPr>
          <w:rFonts w:ascii="Arial" w:hAnsi="Arial" w:cs="Arial"/>
          <w:sz w:val="20"/>
          <w:szCs w:val="20"/>
        </w:rPr>
        <w:t xml:space="preserve"> Kvoteomfattet forbrug er ikke omfattet af CO2-afgift.</w:t>
      </w:r>
    </w:p>
    <w:p w:rsidR="004C77E8" w:rsidRPr="004C77E8" w:rsidRDefault="00BB34DD" w:rsidP="004D007F">
      <w:pPr>
        <w:rPr>
          <w:rFonts w:ascii="Arial" w:hAnsi="Arial" w:cs="Arial"/>
          <w:sz w:val="20"/>
          <w:szCs w:val="20"/>
        </w:rPr>
      </w:pPr>
      <w:r w:rsidRPr="004C77E8">
        <w:rPr>
          <w:rFonts w:ascii="Arial" w:hAnsi="Arial" w:cs="Arial"/>
          <w:sz w:val="20"/>
          <w:szCs w:val="20"/>
        </w:rPr>
        <w:t xml:space="preserve">Kategorien ”Blandet fossil og bio” </w:t>
      </w:r>
      <w:r w:rsidR="000A6724" w:rsidRPr="004C77E8">
        <w:rPr>
          <w:rFonts w:ascii="Arial" w:hAnsi="Arial" w:cs="Arial"/>
          <w:sz w:val="20"/>
          <w:szCs w:val="20"/>
        </w:rPr>
        <w:t xml:space="preserve">fra kvotedata </w:t>
      </w:r>
      <w:r w:rsidRPr="004C77E8">
        <w:rPr>
          <w:rFonts w:ascii="Arial" w:hAnsi="Arial" w:cs="Arial"/>
          <w:sz w:val="20"/>
          <w:szCs w:val="20"/>
        </w:rPr>
        <w:t xml:space="preserve">er </w:t>
      </w:r>
      <w:r w:rsidR="006C1970" w:rsidRPr="004C77E8">
        <w:rPr>
          <w:rFonts w:ascii="Arial" w:hAnsi="Arial" w:cs="Arial"/>
          <w:sz w:val="20"/>
          <w:szCs w:val="20"/>
        </w:rPr>
        <w:t>koblet til affald</w:t>
      </w:r>
      <w:r w:rsidRPr="004C77E8">
        <w:rPr>
          <w:rFonts w:ascii="Arial" w:hAnsi="Arial" w:cs="Arial"/>
          <w:sz w:val="20"/>
          <w:szCs w:val="20"/>
        </w:rPr>
        <w:t xml:space="preserve">. </w:t>
      </w:r>
      <w:r w:rsidR="004C77E8" w:rsidRPr="004C77E8">
        <w:rPr>
          <w:rFonts w:ascii="Arial" w:hAnsi="Arial" w:cs="Arial"/>
          <w:sz w:val="20"/>
          <w:szCs w:val="20"/>
        </w:rPr>
        <w:t>Det fremgår af oplysninger fra de relevante virksomheders</w:t>
      </w:r>
      <w:r w:rsidR="001E4112" w:rsidRPr="004C77E8">
        <w:rPr>
          <w:rFonts w:ascii="Arial" w:hAnsi="Arial" w:cs="Arial"/>
          <w:sz w:val="20"/>
          <w:szCs w:val="20"/>
        </w:rPr>
        <w:t xml:space="preserve"> bæredygtighedsrapport</w:t>
      </w:r>
      <w:r w:rsidR="004C77E8" w:rsidRPr="004C77E8">
        <w:rPr>
          <w:rFonts w:ascii="Arial" w:hAnsi="Arial" w:cs="Arial"/>
          <w:sz w:val="20"/>
          <w:szCs w:val="20"/>
        </w:rPr>
        <w:t>er</w:t>
      </w:r>
      <w:r w:rsidR="001E4112" w:rsidRPr="004C77E8">
        <w:rPr>
          <w:rFonts w:ascii="Arial" w:hAnsi="Arial" w:cs="Arial"/>
          <w:sz w:val="20"/>
          <w:szCs w:val="20"/>
        </w:rPr>
        <w:t xml:space="preserve">, at det er affaldsprodukter. </w:t>
      </w:r>
    </w:p>
    <w:p w:rsidR="00BB34DD" w:rsidRPr="004C77E8" w:rsidRDefault="009D5026" w:rsidP="004D007F">
      <w:pPr>
        <w:rPr>
          <w:rFonts w:ascii="Arial" w:hAnsi="Arial" w:cs="Arial"/>
          <w:sz w:val="20"/>
          <w:szCs w:val="20"/>
        </w:rPr>
      </w:pPr>
      <w:r w:rsidRPr="004C77E8">
        <w:rPr>
          <w:rFonts w:ascii="Arial" w:hAnsi="Arial" w:cs="Arial"/>
          <w:sz w:val="20"/>
          <w:szCs w:val="20"/>
        </w:rPr>
        <w:t xml:space="preserve">Som en automatisk korrektion flyttes overskydende flis i kvotedata til træpiller og overskydende fuelolie til gasolie. </w:t>
      </w:r>
    </w:p>
    <w:p w:rsidR="00AB3D56" w:rsidRPr="004C77E8" w:rsidRDefault="00AB3D56" w:rsidP="004D007F">
      <w:pPr>
        <w:rPr>
          <w:rFonts w:ascii="Arial" w:hAnsi="Arial" w:cs="Arial"/>
          <w:sz w:val="20"/>
          <w:szCs w:val="20"/>
        </w:rPr>
      </w:pPr>
    </w:p>
    <w:p w:rsidR="006C1970" w:rsidRPr="004C77E8" w:rsidRDefault="006C1970" w:rsidP="004D007F">
      <w:pPr>
        <w:rPr>
          <w:rFonts w:ascii="Arial" w:hAnsi="Arial" w:cs="Arial"/>
          <w:b/>
          <w:sz w:val="20"/>
          <w:szCs w:val="20"/>
        </w:rPr>
      </w:pPr>
      <w:r w:rsidRPr="004C77E8">
        <w:rPr>
          <w:rFonts w:ascii="Arial" w:hAnsi="Arial" w:cs="Arial"/>
          <w:b/>
          <w:sz w:val="20"/>
          <w:szCs w:val="20"/>
        </w:rPr>
        <w:t>Beregning for øvrige brancher-varer</w:t>
      </w:r>
    </w:p>
    <w:p w:rsidR="00830E70" w:rsidRPr="004C77E8" w:rsidRDefault="00830E70" w:rsidP="004D007F">
      <w:pPr>
        <w:rPr>
          <w:rFonts w:ascii="Arial" w:hAnsi="Arial" w:cs="Arial"/>
          <w:sz w:val="20"/>
          <w:szCs w:val="20"/>
        </w:rPr>
      </w:pPr>
      <w:r w:rsidRPr="004C77E8">
        <w:rPr>
          <w:rFonts w:ascii="Arial" w:hAnsi="Arial" w:cs="Arial"/>
          <w:sz w:val="20"/>
          <w:szCs w:val="20"/>
        </w:rPr>
        <w:t>For øvrige brancher indsættes en fordeling på hver vares formål baseret de nøgler til fordeling mv., der findes i energiregnskabets metoder, suppleret med nogle skøn.</w:t>
      </w:r>
    </w:p>
    <w:p w:rsidR="001E4112" w:rsidRPr="004C77E8" w:rsidRDefault="00CF6343" w:rsidP="004D007F">
      <w:pPr>
        <w:rPr>
          <w:rFonts w:ascii="Arial" w:hAnsi="Arial" w:cs="Arial"/>
          <w:sz w:val="20"/>
          <w:szCs w:val="20"/>
        </w:rPr>
      </w:pPr>
      <w:r w:rsidRPr="004C77E8">
        <w:rPr>
          <w:rFonts w:ascii="Arial" w:hAnsi="Arial" w:cs="Arial"/>
          <w:sz w:val="20"/>
          <w:szCs w:val="20"/>
        </w:rPr>
        <w:t xml:space="preserve">For at sikre konsistens, </w:t>
      </w:r>
      <w:r w:rsidR="004C77E8" w:rsidRPr="004C77E8">
        <w:rPr>
          <w:rFonts w:ascii="Arial" w:hAnsi="Arial" w:cs="Arial"/>
          <w:sz w:val="20"/>
          <w:szCs w:val="20"/>
        </w:rPr>
        <w:t xml:space="preserve">er der </w:t>
      </w:r>
      <w:r w:rsidRPr="004C77E8">
        <w:rPr>
          <w:rFonts w:ascii="Arial" w:hAnsi="Arial" w:cs="Arial"/>
          <w:sz w:val="20"/>
          <w:szCs w:val="20"/>
        </w:rPr>
        <w:t>regne</w:t>
      </w:r>
      <w:r w:rsidR="004C77E8" w:rsidRPr="004C77E8">
        <w:rPr>
          <w:rFonts w:ascii="Arial" w:hAnsi="Arial" w:cs="Arial"/>
          <w:sz w:val="20"/>
          <w:szCs w:val="20"/>
        </w:rPr>
        <w:t>t</w:t>
      </w:r>
      <w:r w:rsidRPr="004C77E8">
        <w:rPr>
          <w:rFonts w:ascii="Arial" w:hAnsi="Arial" w:cs="Arial"/>
          <w:sz w:val="20"/>
          <w:szCs w:val="20"/>
        </w:rPr>
        <w:t xml:space="preserve"> baglæns ud fra det split, der ligger implicit i afgifterne </w:t>
      </w:r>
      <w:r w:rsidR="004C77E8" w:rsidRPr="004C77E8">
        <w:rPr>
          <w:rFonts w:ascii="Arial" w:hAnsi="Arial" w:cs="Arial"/>
          <w:sz w:val="20"/>
          <w:szCs w:val="20"/>
        </w:rPr>
        <w:t>i afgifterne i energiregnskabet.</w:t>
      </w:r>
    </w:p>
    <w:p w:rsidR="00D663D3" w:rsidRPr="004C77E8" w:rsidRDefault="00D663D3" w:rsidP="00FA3682">
      <w:pPr>
        <w:ind w:left="360"/>
        <w:rPr>
          <w:rFonts w:ascii="Arial" w:hAnsi="Arial" w:cs="Arial"/>
          <w:sz w:val="20"/>
          <w:szCs w:val="20"/>
        </w:rPr>
      </w:pPr>
    </w:p>
    <w:p w:rsidR="00E067CB" w:rsidRPr="004C77E8" w:rsidRDefault="00E067CB" w:rsidP="00E067CB">
      <w:pPr>
        <w:rPr>
          <w:rFonts w:ascii="Arial" w:hAnsi="Arial" w:cs="Arial"/>
          <w:sz w:val="20"/>
          <w:szCs w:val="20"/>
        </w:rPr>
      </w:pPr>
      <w:r w:rsidRPr="004C77E8">
        <w:rPr>
          <w:rFonts w:ascii="Arial" w:hAnsi="Arial" w:cs="Arial"/>
          <w:sz w:val="20"/>
          <w:szCs w:val="20"/>
        </w:rPr>
        <w:t>Alle brancher betaler som udgangspunkt CO2</w:t>
      </w:r>
      <w:r w:rsidR="007402DE">
        <w:rPr>
          <w:rFonts w:ascii="Arial" w:hAnsi="Arial" w:cs="Arial"/>
          <w:sz w:val="20"/>
          <w:szCs w:val="20"/>
        </w:rPr>
        <w:t>-afgift</w:t>
      </w:r>
      <w:r w:rsidRPr="004C77E8">
        <w:rPr>
          <w:rFonts w:ascii="Arial" w:hAnsi="Arial" w:cs="Arial"/>
          <w:sz w:val="20"/>
          <w:szCs w:val="20"/>
        </w:rPr>
        <w:t xml:space="preserve"> med mindre de har kvoter. PSO er ligeledes fordelt ligeligt.</w:t>
      </w:r>
      <w:r w:rsidR="006C1970" w:rsidRPr="004C77E8">
        <w:rPr>
          <w:rFonts w:ascii="Arial" w:hAnsi="Arial" w:cs="Arial"/>
          <w:sz w:val="20"/>
          <w:szCs w:val="20"/>
        </w:rPr>
        <w:t xml:space="preserve"> </w:t>
      </w:r>
    </w:p>
    <w:p w:rsidR="009E6CB8" w:rsidRPr="004C77E8" w:rsidRDefault="009E6CB8" w:rsidP="00E067CB">
      <w:pPr>
        <w:rPr>
          <w:rFonts w:ascii="Arial" w:hAnsi="Arial" w:cs="Arial"/>
          <w:sz w:val="20"/>
          <w:szCs w:val="20"/>
        </w:rPr>
      </w:pPr>
    </w:p>
    <w:p w:rsidR="009E6CB8" w:rsidRPr="004C77E8" w:rsidRDefault="009E6CB8" w:rsidP="00E067CB">
      <w:pPr>
        <w:rPr>
          <w:rFonts w:ascii="Arial" w:hAnsi="Arial" w:cs="Arial"/>
          <w:b/>
          <w:sz w:val="20"/>
          <w:szCs w:val="20"/>
        </w:rPr>
      </w:pPr>
      <w:r w:rsidRPr="004C77E8">
        <w:rPr>
          <w:rFonts w:ascii="Arial" w:hAnsi="Arial" w:cs="Arial"/>
          <w:b/>
          <w:sz w:val="20"/>
          <w:szCs w:val="20"/>
        </w:rPr>
        <w:t>PSO</w:t>
      </w:r>
    </w:p>
    <w:p w:rsidR="009E6CB8" w:rsidRPr="004C77E8" w:rsidRDefault="000A1E52" w:rsidP="00E067CB">
      <w:pPr>
        <w:rPr>
          <w:rFonts w:ascii="Arial" w:hAnsi="Arial" w:cs="Arial"/>
          <w:sz w:val="20"/>
          <w:szCs w:val="20"/>
        </w:rPr>
      </w:pPr>
      <w:r w:rsidRPr="004C77E8">
        <w:rPr>
          <w:rFonts w:ascii="Arial" w:hAnsi="Arial" w:cs="Arial"/>
          <w:sz w:val="20"/>
          <w:szCs w:val="20"/>
        </w:rPr>
        <w:t xml:space="preserve">For el </w:t>
      </w:r>
      <w:r w:rsidR="007402DE">
        <w:rPr>
          <w:rFonts w:ascii="Arial" w:hAnsi="Arial" w:cs="Arial"/>
          <w:sz w:val="20"/>
          <w:szCs w:val="20"/>
        </w:rPr>
        <w:t>er</w:t>
      </w:r>
      <w:r w:rsidRPr="004C77E8">
        <w:rPr>
          <w:rFonts w:ascii="Arial" w:hAnsi="Arial" w:cs="Arial"/>
          <w:sz w:val="20"/>
          <w:szCs w:val="20"/>
        </w:rPr>
        <w:t xml:space="preserve"> PSO-</w:t>
      </w:r>
      <w:proofErr w:type="spellStart"/>
      <w:r w:rsidRPr="004C77E8">
        <w:rPr>
          <w:rFonts w:ascii="Arial" w:hAnsi="Arial" w:cs="Arial"/>
          <w:sz w:val="20"/>
          <w:szCs w:val="20"/>
        </w:rPr>
        <w:t>subsidie</w:t>
      </w:r>
      <w:proofErr w:type="spellEnd"/>
      <w:r w:rsidRPr="004C77E8">
        <w:rPr>
          <w:rFonts w:ascii="Arial" w:hAnsi="Arial" w:cs="Arial"/>
          <w:sz w:val="20"/>
          <w:szCs w:val="20"/>
        </w:rPr>
        <w:t xml:space="preserve">/afgift </w:t>
      </w:r>
      <w:r w:rsidR="007402DE">
        <w:rPr>
          <w:rFonts w:ascii="Arial" w:hAnsi="Arial" w:cs="Arial"/>
          <w:sz w:val="20"/>
          <w:szCs w:val="20"/>
        </w:rPr>
        <w:t>opgjort særskilt</w:t>
      </w:r>
      <w:r w:rsidRPr="004C77E8">
        <w:rPr>
          <w:rFonts w:ascii="Arial" w:hAnsi="Arial" w:cs="Arial"/>
          <w:sz w:val="20"/>
          <w:szCs w:val="20"/>
        </w:rPr>
        <w:t xml:space="preserve">. </w:t>
      </w:r>
      <w:r w:rsidR="006C1970" w:rsidRPr="004C77E8">
        <w:rPr>
          <w:rFonts w:ascii="Arial" w:hAnsi="Arial" w:cs="Arial"/>
          <w:sz w:val="20"/>
          <w:szCs w:val="20"/>
        </w:rPr>
        <w:t>PSO-subsidier gælder hele produktionen inkl. den, der går til eksport. Afgiften opkræves af forbruget</w:t>
      </w:r>
      <w:r w:rsidR="00EA3734" w:rsidRPr="004C77E8">
        <w:rPr>
          <w:rFonts w:ascii="Arial" w:hAnsi="Arial" w:cs="Arial"/>
          <w:sz w:val="20"/>
          <w:szCs w:val="20"/>
        </w:rPr>
        <w:t xml:space="preserve"> inklusiv import.</w:t>
      </w:r>
    </w:p>
    <w:p w:rsidR="00BA461C" w:rsidRPr="004C77E8" w:rsidRDefault="00BA461C" w:rsidP="004D007F">
      <w:pPr>
        <w:ind w:left="-2552"/>
        <w:rPr>
          <w:rFonts w:ascii="Arial" w:hAnsi="Arial" w:cs="Arial"/>
          <w:sz w:val="20"/>
          <w:szCs w:val="20"/>
        </w:rPr>
      </w:pPr>
    </w:p>
    <w:p w:rsidR="00B45B9C" w:rsidRPr="004C77E8" w:rsidRDefault="00B45B9C" w:rsidP="00B45B9C">
      <w:pPr>
        <w:rPr>
          <w:rFonts w:ascii="Arial" w:hAnsi="Arial" w:cs="Arial"/>
          <w:b/>
          <w:sz w:val="20"/>
          <w:szCs w:val="20"/>
        </w:rPr>
      </w:pPr>
      <w:r w:rsidRPr="004C77E8">
        <w:rPr>
          <w:rFonts w:ascii="Arial" w:hAnsi="Arial" w:cs="Arial"/>
          <w:b/>
          <w:sz w:val="20"/>
          <w:szCs w:val="20"/>
        </w:rPr>
        <w:t>Afgifter</w:t>
      </w:r>
    </w:p>
    <w:p w:rsidR="00E32D50" w:rsidRPr="004C77E8" w:rsidRDefault="00E32D50" w:rsidP="001E11B9">
      <w:pPr>
        <w:spacing w:line="276" w:lineRule="auto"/>
        <w:jc w:val="left"/>
        <w:rPr>
          <w:rFonts w:ascii="Arial" w:hAnsi="Arial" w:cs="Arial"/>
          <w:sz w:val="20"/>
          <w:szCs w:val="20"/>
        </w:rPr>
      </w:pPr>
      <w:r w:rsidRPr="004C77E8">
        <w:rPr>
          <w:rFonts w:ascii="Arial" w:hAnsi="Arial" w:cs="Arial"/>
          <w:sz w:val="20"/>
          <w:szCs w:val="20"/>
        </w:rPr>
        <w:t>Energiafgiften</w:t>
      </w:r>
      <w:r w:rsidR="00835D1A" w:rsidRPr="004C77E8">
        <w:rPr>
          <w:rFonts w:ascii="Arial" w:hAnsi="Arial" w:cs="Arial"/>
          <w:sz w:val="20"/>
          <w:szCs w:val="20"/>
        </w:rPr>
        <w:t xml:space="preserve"> i energiregnskabet er en sum af</w:t>
      </w:r>
      <w:r w:rsidRPr="004C77E8">
        <w:rPr>
          <w:rFonts w:ascii="Arial" w:hAnsi="Arial" w:cs="Arial"/>
          <w:sz w:val="20"/>
          <w:szCs w:val="20"/>
        </w:rPr>
        <w:t xml:space="preserve"> </w:t>
      </w:r>
      <w:proofErr w:type="spellStart"/>
      <w:r w:rsidRPr="004C77E8">
        <w:rPr>
          <w:rFonts w:ascii="Arial" w:hAnsi="Arial" w:cs="Arial"/>
          <w:sz w:val="20"/>
          <w:szCs w:val="20"/>
        </w:rPr>
        <w:t>NOx</w:t>
      </w:r>
      <w:proofErr w:type="spellEnd"/>
      <w:r w:rsidRPr="004C77E8">
        <w:rPr>
          <w:rFonts w:ascii="Arial" w:hAnsi="Arial" w:cs="Arial"/>
          <w:sz w:val="20"/>
          <w:szCs w:val="20"/>
        </w:rPr>
        <w:t>, el, PS</w:t>
      </w:r>
      <w:r w:rsidR="00835D1A" w:rsidRPr="004C77E8">
        <w:rPr>
          <w:rFonts w:ascii="Arial" w:hAnsi="Arial" w:cs="Arial"/>
          <w:sz w:val="20"/>
          <w:szCs w:val="20"/>
        </w:rPr>
        <w:t xml:space="preserve">O (skat og </w:t>
      </w:r>
      <w:proofErr w:type="spellStart"/>
      <w:r w:rsidR="00835D1A" w:rsidRPr="004C77E8">
        <w:rPr>
          <w:rFonts w:ascii="Arial" w:hAnsi="Arial" w:cs="Arial"/>
          <w:sz w:val="20"/>
          <w:szCs w:val="20"/>
        </w:rPr>
        <w:t>subsidie</w:t>
      </w:r>
      <w:proofErr w:type="spellEnd"/>
      <w:r w:rsidR="00835D1A" w:rsidRPr="004C77E8">
        <w:rPr>
          <w:rFonts w:ascii="Arial" w:hAnsi="Arial" w:cs="Arial"/>
          <w:sz w:val="20"/>
          <w:szCs w:val="20"/>
        </w:rPr>
        <w:t>), olie, kul, naturgas, og benzin.</w:t>
      </w:r>
      <w:r w:rsidR="007402DE">
        <w:rPr>
          <w:rFonts w:ascii="Arial" w:hAnsi="Arial" w:cs="Arial"/>
          <w:sz w:val="20"/>
          <w:szCs w:val="20"/>
        </w:rPr>
        <w:t xml:space="preserve"> I leverancen til Grøn Reform er PSO- og </w:t>
      </w:r>
      <w:proofErr w:type="spellStart"/>
      <w:r w:rsidR="007402DE">
        <w:rPr>
          <w:rFonts w:ascii="Arial" w:hAnsi="Arial" w:cs="Arial"/>
          <w:sz w:val="20"/>
          <w:szCs w:val="20"/>
        </w:rPr>
        <w:t>NOx</w:t>
      </w:r>
      <w:proofErr w:type="spellEnd"/>
      <w:r w:rsidR="007402DE">
        <w:rPr>
          <w:rFonts w:ascii="Arial" w:hAnsi="Arial" w:cs="Arial"/>
          <w:sz w:val="20"/>
          <w:szCs w:val="20"/>
        </w:rPr>
        <w:t>-afgift splittet ud for sig.</w:t>
      </w:r>
    </w:p>
    <w:p w:rsidR="005549B4" w:rsidRPr="004C77E8" w:rsidRDefault="005549B4" w:rsidP="001E11B9">
      <w:pPr>
        <w:spacing w:line="276" w:lineRule="auto"/>
        <w:jc w:val="left"/>
        <w:rPr>
          <w:rFonts w:ascii="Arial" w:hAnsi="Arial" w:cs="Arial"/>
          <w:sz w:val="20"/>
          <w:szCs w:val="20"/>
        </w:rPr>
      </w:pPr>
    </w:p>
    <w:p w:rsidR="005549B4" w:rsidRPr="004C77E8" w:rsidRDefault="005549B4" w:rsidP="001E11B9">
      <w:pPr>
        <w:spacing w:line="276" w:lineRule="auto"/>
        <w:jc w:val="left"/>
        <w:rPr>
          <w:rFonts w:ascii="Arial" w:hAnsi="Arial" w:cs="Arial"/>
          <w:b/>
          <w:sz w:val="20"/>
          <w:szCs w:val="20"/>
        </w:rPr>
      </w:pPr>
      <w:r w:rsidRPr="004C77E8">
        <w:rPr>
          <w:rFonts w:ascii="Arial" w:hAnsi="Arial" w:cs="Arial"/>
          <w:b/>
          <w:sz w:val="20"/>
          <w:szCs w:val="20"/>
        </w:rPr>
        <w:t>Elafgift</w:t>
      </w:r>
    </w:p>
    <w:p w:rsidR="00BC5A19" w:rsidRPr="004C77E8" w:rsidRDefault="00B45B9C" w:rsidP="001E11B9">
      <w:pPr>
        <w:spacing w:line="276" w:lineRule="auto"/>
        <w:jc w:val="left"/>
        <w:rPr>
          <w:rFonts w:ascii="Arial" w:hAnsi="Arial" w:cs="Arial"/>
          <w:sz w:val="20"/>
          <w:szCs w:val="20"/>
        </w:rPr>
      </w:pPr>
      <w:r w:rsidRPr="004C77E8">
        <w:rPr>
          <w:rFonts w:ascii="Arial" w:hAnsi="Arial" w:cs="Arial"/>
          <w:sz w:val="20"/>
          <w:szCs w:val="20"/>
        </w:rPr>
        <w:t>”Siden den 1. januar 2012 har det dog været muligt for momsregistrerede virksomheder at få delvis godtgørelse af elafgiften for forbrug af elektricitet anvendt til rumvarme, varmt brugsvand og komfortkøling. Adgangen gælder også for virksomheder, der er omfattet af bilag 1 til elafgiftsloven (eksempelvis advokater, revisorer, virksomheder med forlystelser mv.).”</w:t>
      </w:r>
      <w:r w:rsidRPr="004C77E8">
        <w:rPr>
          <w:rFonts w:ascii="Arial" w:hAnsi="Arial" w:cs="Arial"/>
          <w:sz w:val="20"/>
          <w:szCs w:val="20"/>
        </w:rPr>
        <w:br/>
        <w:t>Satsen for delvis godtgørelse var 50,2 øre/kWh i 2016.</w:t>
      </w:r>
    </w:p>
    <w:p w:rsidR="00BE6C78" w:rsidRPr="004C77E8" w:rsidRDefault="00BE6C78" w:rsidP="001E11B9">
      <w:pPr>
        <w:spacing w:line="276" w:lineRule="auto"/>
        <w:jc w:val="left"/>
        <w:rPr>
          <w:rFonts w:ascii="Arial" w:hAnsi="Arial" w:cs="Arial"/>
          <w:sz w:val="20"/>
          <w:szCs w:val="20"/>
        </w:rPr>
      </w:pPr>
      <w:r w:rsidRPr="004C77E8">
        <w:rPr>
          <w:rFonts w:ascii="Arial" w:hAnsi="Arial" w:cs="Arial"/>
          <w:sz w:val="20"/>
          <w:szCs w:val="20"/>
        </w:rPr>
        <w:t>Forbrugerne består dermed af følgende grupper:</w:t>
      </w:r>
      <w:r w:rsidRPr="004C77E8">
        <w:rPr>
          <w:rFonts w:ascii="Arial" w:hAnsi="Arial" w:cs="Arial"/>
          <w:sz w:val="20"/>
          <w:szCs w:val="20"/>
        </w:rPr>
        <w:br/>
        <w:t>- industrien – formål er fordelt efter industritællingen</w:t>
      </w:r>
    </w:p>
    <w:p w:rsidR="00BE6C78" w:rsidRPr="004C77E8" w:rsidRDefault="00BE6C78" w:rsidP="00BE6C78">
      <w:pPr>
        <w:pStyle w:val="Listeafsnit"/>
        <w:numPr>
          <w:ilvl w:val="0"/>
          <w:numId w:val="13"/>
        </w:numPr>
        <w:spacing w:line="276" w:lineRule="auto"/>
        <w:jc w:val="left"/>
        <w:rPr>
          <w:rFonts w:ascii="Arial" w:hAnsi="Arial" w:cs="Arial"/>
          <w:sz w:val="20"/>
          <w:szCs w:val="20"/>
        </w:rPr>
      </w:pPr>
      <w:r w:rsidRPr="004C77E8">
        <w:rPr>
          <w:rFonts w:ascii="Arial" w:hAnsi="Arial" w:cs="Arial"/>
          <w:sz w:val="20"/>
          <w:szCs w:val="20"/>
        </w:rPr>
        <w:t>Husholdningerne – der som sådan ikke har procesformål</w:t>
      </w:r>
    </w:p>
    <w:p w:rsidR="00EF4121" w:rsidRPr="004C77E8" w:rsidRDefault="00BE6C78" w:rsidP="00BE6C78">
      <w:pPr>
        <w:pStyle w:val="Listeafsnit"/>
        <w:numPr>
          <w:ilvl w:val="0"/>
          <w:numId w:val="13"/>
        </w:numPr>
        <w:spacing w:line="276" w:lineRule="auto"/>
        <w:jc w:val="left"/>
        <w:rPr>
          <w:rFonts w:ascii="Arial" w:hAnsi="Arial" w:cs="Arial"/>
          <w:sz w:val="20"/>
          <w:szCs w:val="20"/>
        </w:rPr>
      </w:pPr>
      <w:r w:rsidRPr="004C77E8">
        <w:rPr>
          <w:rFonts w:ascii="Arial" w:hAnsi="Arial" w:cs="Arial"/>
          <w:sz w:val="20"/>
          <w:szCs w:val="20"/>
        </w:rPr>
        <w:lastRenderedPageBreak/>
        <w:t>Virksomheder ifølge bilag 1</w:t>
      </w:r>
      <w:r w:rsidR="00BB3D95" w:rsidRPr="004C77E8">
        <w:rPr>
          <w:rFonts w:ascii="Arial" w:hAnsi="Arial" w:cs="Arial"/>
          <w:sz w:val="20"/>
          <w:szCs w:val="20"/>
        </w:rPr>
        <w:t>: Advokater, arkitekter bureauer, forlystelser, landinspektører, mæglere, reklame, revision, rådgivende ingeni</w:t>
      </w:r>
      <w:r w:rsidR="00EF4121" w:rsidRPr="004C77E8">
        <w:rPr>
          <w:rFonts w:ascii="Arial" w:hAnsi="Arial" w:cs="Arial"/>
          <w:sz w:val="20"/>
          <w:szCs w:val="20"/>
        </w:rPr>
        <w:t>ører, formidling af lysreklamer, der ikke kan få refusion af energiafgiften men delvis af el anvendt til rumvarme mv.</w:t>
      </w:r>
    </w:p>
    <w:p w:rsidR="00BE6C78" w:rsidRPr="004C77E8" w:rsidRDefault="00EF4121" w:rsidP="00BE6C78">
      <w:pPr>
        <w:pStyle w:val="Listeafsnit"/>
        <w:numPr>
          <w:ilvl w:val="0"/>
          <w:numId w:val="13"/>
        </w:numPr>
        <w:spacing w:line="276" w:lineRule="auto"/>
        <w:jc w:val="left"/>
        <w:rPr>
          <w:rFonts w:ascii="Arial" w:hAnsi="Arial" w:cs="Arial"/>
          <w:sz w:val="20"/>
          <w:szCs w:val="20"/>
        </w:rPr>
      </w:pPr>
      <w:r w:rsidRPr="004C77E8">
        <w:rPr>
          <w:rFonts w:ascii="Arial" w:hAnsi="Arial" w:cs="Arial"/>
          <w:sz w:val="20"/>
          <w:szCs w:val="20"/>
        </w:rPr>
        <w:t>Virksomheder, der ikke leverer momsbelagte ydelser – primært inden for offentlig service.</w:t>
      </w:r>
    </w:p>
    <w:p w:rsidR="00BE6C78" w:rsidRPr="004C77E8" w:rsidRDefault="00BE6C78" w:rsidP="00BE6C78">
      <w:pPr>
        <w:pStyle w:val="Listeafsnit"/>
        <w:numPr>
          <w:ilvl w:val="0"/>
          <w:numId w:val="13"/>
        </w:numPr>
        <w:spacing w:line="276" w:lineRule="auto"/>
        <w:jc w:val="left"/>
        <w:rPr>
          <w:rFonts w:ascii="Arial" w:hAnsi="Arial" w:cs="Arial"/>
          <w:sz w:val="20"/>
          <w:szCs w:val="20"/>
        </w:rPr>
      </w:pPr>
      <w:r w:rsidRPr="004C77E8">
        <w:rPr>
          <w:rFonts w:ascii="Arial" w:hAnsi="Arial" w:cs="Arial"/>
          <w:sz w:val="20"/>
          <w:szCs w:val="20"/>
        </w:rPr>
        <w:t>Andre virksomheder.</w:t>
      </w:r>
    </w:p>
    <w:p w:rsidR="00697087" w:rsidRPr="004C77E8" w:rsidRDefault="00697087" w:rsidP="00697087">
      <w:pPr>
        <w:spacing w:line="276" w:lineRule="auto"/>
        <w:jc w:val="left"/>
        <w:rPr>
          <w:rFonts w:ascii="Arial" w:hAnsi="Arial" w:cs="Arial"/>
          <w:sz w:val="20"/>
          <w:szCs w:val="20"/>
        </w:rPr>
      </w:pPr>
    </w:p>
    <w:p w:rsidR="00697087" w:rsidRPr="004C77E8" w:rsidRDefault="00697087" w:rsidP="00697087">
      <w:pPr>
        <w:spacing w:line="276" w:lineRule="auto"/>
        <w:jc w:val="left"/>
        <w:rPr>
          <w:rFonts w:ascii="Arial" w:hAnsi="Arial" w:cs="Arial"/>
          <w:sz w:val="20"/>
          <w:szCs w:val="20"/>
        </w:rPr>
      </w:pPr>
      <w:r w:rsidRPr="004C77E8">
        <w:rPr>
          <w:rFonts w:ascii="Arial" w:hAnsi="Arial" w:cs="Arial"/>
          <w:b/>
          <w:sz w:val="20"/>
          <w:szCs w:val="20"/>
        </w:rPr>
        <w:t>Olieafgifter</w:t>
      </w:r>
      <w:r w:rsidRPr="004C77E8">
        <w:rPr>
          <w:rFonts w:ascii="Arial" w:hAnsi="Arial" w:cs="Arial"/>
          <w:b/>
          <w:sz w:val="20"/>
          <w:szCs w:val="20"/>
        </w:rPr>
        <w:br/>
      </w:r>
      <w:r w:rsidRPr="004C77E8">
        <w:rPr>
          <w:rFonts w:ascii="Arial" w:hAnsi="Arial" w:cs="Arial"/>
          <w:sz w:val="20"/>
          <w:szCs w:val="20"/>
        </w:rPr>
        <w:t xml:space="preserve">Der er afgiftsfritagelse for </w:t>
      </w:r>
      <w:r w:rsidR="00E80A2A" w:rsidRPr="004C77E8">
        <w:rPr>
          <w:rFonts w:ascii="Arial" w:hAnsi="Arial" w:cs="Arial"/>
          <w:sz w:val="20"/>
          <w:szCs w:val="20"/>
        </w:rPr>
        <w:t xml:space="preserve">togdrift, </w:t>
      </w:r>
      <w:r w:rsidRPr="004C77E8">
        <w:rPr>
          <w:rFonts w:ascii="Arial" w:hAnsi="Arial" w:cs="Arial"/>
          <w:sz w:val="20"/>
          <w:szCs w:val="20"/>
        </w:rPr>
        <w:t>fly og skibe (dog ikke lystfartøjer) gælder også CO2-afgiften.</w:t>
      </w:r>
      <w:r w:rsidR="000E354B">
        <w:rPr>
          <w:rFonts w:ascii="Arial" w:hAnsi="Arial" w:cs="Arial"/>
          <w:sz w:val="20"/>
          <w:szCs w:val="20"/>
        </w:rPr>
        <w:t xml:space="preserve"> </w:t>
      </w:r>
      <w:r w:rsidRPr="004C77E8">
        <w:rPr>
          <w:rFonts w:ascii="Arial" w:hAnsi="Arial" w:cs="Arial"/>
          <w:sz w:val="20"/>
          <w:szCs w:val="20"/>
        </w:rPr>
        <w:t>Der er fuld refusion for togdrift.</w:t>
      </w:r>
    </w:p>
    <w:p w:rsidR="00697087" w:rsidRPr="004C77E8" w:rsidRDefault="00697087" w:rsidP="00697087">
      <w:pPr>
        <w:spacing w:line="276" w:lineRule="auto"/>
        <w:jc w:val="left"/>
        <w:rPr>
          <w:rFonts w:ascii="Arial" w:hAnsi="Arial" w:cs="Arial"/>
          <w:sz w:val="20"/>
          <w:szCs w:val="20"/>
        </w:rPr>
      </w:pPr>
    </w:p>
    <w:p w:rsidR="00697087" w:rsidRPr="004C77E8" w:rsidRDefault="00697087" w:rsidP="00697087">
      <w:pPr>
        <w:spacing w:line="276" w:lineRule="auto"/>
        <w:jc w:val="left"/>
        <w:rPr>
          <w:rFonts w:ascii="Arial" w:hAnsi="Arial" w:cs="Arial"/>
          <w:sz w:val="20"/>
          <w:szCs w:val="20"/>
        </w:rPr>
      </w:pPr>
      <w:r w:rsidRPr="004C77E8">
        <w:rPr>
          <w:rFonts w:ascii="Arial" w:hAnsi="Arial" w:cs="Arial"/>
          <w:b/>
          <w:sz w:val="20"/>
          <w:szCs w:val="20"/>
        </w:rPr>
        <w:t>K</w:t>
      </w:r>
      <w:r w:rsidR="00BB3D95" w:rsidRPr="004C77E8">
        <w:rPr>
          <w:rFonts w:ascii="Arial" w:hAnsi="Arial" w:cs="Arial"/>
          <w:b/>
          <w:sz w:val="20"/>
          <w:szCs w:val="20"/>
        </w:rPr>
        <w:t>ul og affald</w:t>
      </w:r>
      <w:r w:rsidRPr="004C77E8">
        <w:rPr>
          <w:rFonts w:ascii="Arial" w:hAnsi="Arial" w:cs="Arial"/>
          <w:b/>
          <w:sz w:val="20"/>
          <w:szCs w:val="20"/>
        </w:rPr>
        <w:br/>
      </w:r>
      <w:r w:rsidRPr="004C77E8">
        <w:rPr>
          <w:rFonts w:ascii="Arial" w:hAnsi="Arial" w:cs="Arial"/>
          <w:sz w:val="20"/>
          <w:szCs w:val="20"/>
        </w:rPr>
        <w:t>Der er afgiftsfritagelse for affald, der anvendes til fremstilling el</w:t>
      </w:r>
      <w:r w:rsidR="00BB3D95" w:rsidRPr="004C77E8">
        <w:rPr>
          <w:rFonts w:ascii="Arial" w:hAnsi="Arial" w:cs="Arial"/>
          <w:sz w:val="20"/>
          <w:szCs w:val="20"/>
        </w:rPr>
        <w:t xml:space="preserve"> og </w:t>
      </w:r>
      <w:r w:rsidR="004D2E54" w:rsidRPr="004C77E8">
        <w:rPr>
          <w:rFonts w:ascii="Arial" w:hAnsi="Arial" w:cs="Arial"/>
          <w:sz w:val="20"/>
          <w:szCs w:val="20"/>
        </w:rPr>
        <w:t xml:space="preserve">af </w:t>
      </w:r>
      <w:r w:rsidR="00BB3D95" w:rsidRPr="004C77E8">
        <w:rPr>
          <w:rFonts w:ascii="Arial" w:hAnsi="Arial" w:cs="Arial"/>
          <w:sz w:val="20"/>
          <w:szCs w:val="20"/>
        </w:rPr>
        <w:t>tillægsafgiften på affald til varme</w:t>
      </w:r>
      <w:r w:rsidRPr="004C77E8">
        <w:rPr>
          <w:rFonts w:ascii="Arial" w:hAnsi="Arial" w:cs="Arial"/>
          <w:sz w:val="20"/>
          <w:szCs w:val="20"/>
        </w:rPr>
        <w:t>.</w:t>
      </w:r>
    </w:p>
    <w:p w:rsidR="007D2F38" w:rsidRPr="004C77E8" w:rsidRDefault="007D2F38" w:rsidP="00697087">
      <w:pPr>
        <w:spacing w:line="276" w:lineRule="auto"/>
        <w:jc w:val="left"/>
        <w:rPr>
          <w:rFonts w:ascii="Arial" w:hAnsi="Arial" w:cs="Arial"/>
          <w:sz w:val="20"/>
          <w:szCs w:val="20"/>
        </w:rPr>
      </w:pPr>
      <w:r w:rsidRPr="004C77E8">
        <w:rPr>
          <w:rFonts w:ascii="Arial" w:hAnsi="Arial" w:cs="Arial"/>
          <w:sz w:val="20"/>
          <w:szCs w:val="20"/>
        </w:rPr>
        <w:t>Affald anvendes kun som brændsel i industri- og forsyningsbrancherne. Her anvendes kvotedata og industriens energiforbrug til split. Inden for forsyningsbrancherne antages hele forbruget at være særlig proces.</w:t>
      </w:r>
    </w:p>
    <w:p w:rsidR="005549B4" w:rsidRPr="004C77E8" w:rsidRDefault="005549B4" w:rsidP="00697087">
      <w:pPr>
        <w:spacing w:line="276" w:lineRule="auto"/>
        <w:jc w:val="left"/>
        <w:rPr>
          <w:rFonts w:ascii="Arial" w:hAnsi="Arial" w:cs="Arial"/>
          <w:sz w:val="20"/>
          <w:szCs w:val="20"/>
        </w:rPr>
      </w:pPr>
    </w:p>
    <w:p w:rsidR="00942444" w:rsidRDefault="005549B4" w:rsidP="00697087">
      <w:pPr>
        <w:spacing w:line="276" w:lineRule="auto"/>
        <w:jc w:val="left"/>
        <w:rPr>
          <w:rFonts w:ascii="Arial" w:hAnsi="Arial" w:cs="Arial"/>
          <w:sz w:val="20"/>
          <w:szCs w:val="20"/>
        </w:rPr>
      </w:pPr>
      <w:proofErr w:type="spellStart"/>
      <w:r w:rsidRPr="004C77E8">
        <w:rPr>
          <w:rFonts w:ascii="Arial" w:hAnsi="Arial" w:cs="Arial"/>
          <w:b/>
          <w:sz w:val="20"/>
          <w:szCs w:val="20"/>
        </w:rPr>
        <w:t>NOx</w:t>
      </w:r>
      <w:proofErr w:type="spellEnd"/>
      <w:r w:rsidRPr="004C77E8">
        <w:rPr>
          <w:rFonts w:ascii="Arial" w:hAnsi="Arial" w:cs="Arial"/>
          <w:b/>
          <w:sz w:val="20"/>
          <w:szCs w:val="20"/>
        </w:rPr>
        <w:br/>
      </w:r>
      <w:proofErr w:type="spellStart"/>
      <w:r w:rsidRPr="004C77E8">
        <w:rPr>
          <w:rFonts w:ascii="Arial" w:hAnsi="Arial" w:cs="Arial"/>
          <w:sz w:val="20"/>
          <w:szCs w:val="20"/>
        </w:rPr>
        <w:t>NOx</w:t>
      </w:r>
      <w:proofErr w:type="spellEnd"/>
      <w:r w:rsidRPr="004C77E8">
        <w:rPr>
          <w:rFonts w:ascii="Arial" w:hAnsi="Arial" w:cs="Arial"/>
          <w:sz w:val="20"/>
          <w:szCs w:val="20"/>
        </w:rPr>
        <w:t xml:space="preserve"> er en miljøafgift – ikke en energiafgift ifølge SKAT. Der er ikke afgiftsfritagelse/-refusion for </w:t>
      </w:r>
      <w:proofErr w:type="spellStart"/>
      <w:r w:rsidRPr="004C77E8">
        <w:rPr>
          <w:rFonts w:ascii="Arial" w:hAnsi="Arial" w:cs="Arial"/>
          <w:sz w:val="20"/>
          <w:szCs w:val="20"/>
        </w:rPr>
        <w:t>NOx</w:t>
      </w:r>
      <w:proofErr w:type="spellEnd"/>
      <w:r w:rsidRPr="004C77E8">
        <w:rPr>
          <w:rFonts w:ascii="Arial" w:hAnsi="Arial" w:cs="Arial"/>
          <w:sz w:val="20"/>
          <w:szCs w:val="20"/>
        </w:rPr>
        <w:t xml:space="preserve">-afgiften </w:t>
      </w:r>
      <w:proofErr w:type="gramStart"/>
      <w:r w:rsidRPr="004C77E8">
        <w:rPr>
          <w:rFonts w:ascii="Arial" w:hAnsi="Arial" w:cs="Arial"/>
          <w:sz w:val="20"/>
          <w:szCs w:val="20"/>
        </w:rPr>
        <w:t>udover</w:t>
      </w:r>
      <w:proofErr w:type="gramEnd"/>
      <w:r w:rsidRPr="004C77E8">
        <w:rPr>
          <w:rFonts w:ascii="Arial" w:hAnsi="Arial" w:cs="Arial"/>
          <w:sz w:val="20"/>
          <w:szCs w:val="20"/>
        </w:rPr>
        <w:t xml:space="preserve"> fly og større skibe.</w:t>
      </w:r>
      <w:r w:rsidR="00240FC5" w:rsidRPr="004C77E8">
        <w:rPr>
          <w:rFonts w:ascii="Arial" w:hAnsi="Arial" w:cs="Arial"/>
          <w:sz w:val="20"/>
          <w:szCs w:val="20"/>
        </w:rPr>
        <w:t xml:space="preserve"> </w:t>
      </w:r>
    </w:p>
    <w:p w:rsidR="000E354B" w:rsidRPr="004C77E8" w:rsidRDefault="000E354B" w:rsidP="00697087">
      <w:pPr>
        <w:spacing w:line="276" w:lineRule="auto"/>
        <w:jc w:val="left"/>
        <w:rPr>
          <w:rFonts w:ascii="Arial" w:hAnsi="Arial" w:cs="Arial"/>
          <w:b/>
          <w:sz w:val="20"/>
          <w:szCs w:val="20"/>
        </w:rPr>
      </w:pPr>
    </w:p>
    <w:p w:rsidR="00942444" w:rsidRPr="004C77E8" w:rsidRDefault="00942444" w:rsidP="00697087">
      <w:pPr>
        <w:spacing w:line="276" w:lineRule="auto"/>
        <w:jc w:val="left"/>
        <w:rPr>
          <w:rFonts w:ascii="Arial" w:hAnsi="Arial" w:cs="Arial"/>
          <w:b/>
          <w:sz w:val="20"/>
          <w:szCs w:val="20"/>
        </w:rPr>
      </w:pPr>
      <w:r w:rsidRPr="004C77E8">
        <w:rPr>
          <w:rFonts w:ascii="Arial" w:hAnsi="Arial" w:cs="Arial"/>
          <w:b/>
          <w:sz w:val="20"/>
          <w:szCs w:val="20"/>
        </w:rPr>
        <w:t>Fjernvarme</w:t>
      </w:r>
    </w:p>
    <w:p w:rsidR="009D5040" w:rsidRPr="004C77E8" w:rsidRDefault="009D5040" w:rsidP="009D5040">
      <w:pPr>
        <w:spacing w:line="276" w:lineRule="auto"/>
        <w:jc w:val="left"/>
        <w:rPr>
          <w:rFonts w:ascii="Arial" w:hAnsi="Arial" w:cs="Arial"/>
          <w:color w:val="000000"/>
          <w:sz w:val="20"/>
          <w:szCs w:val="20"/>
        </w:rPr>
      </w:pPr>
      <w:r w:rsidRPr="004C77E8">
        <w:rPr>
          <w:rFonts w:ascii="Arial" w:hAnsi="Arial" w:cs="Arial"/>
          <w:color w:val="000000"/>
          <w:sz w:val="20"/>
          <w:szCs w:val="20"/>
        </w:rPr>
        <w:t>Virksomheder omfattet af kvoteordningen kan få godtgjort CO</w:t>
      </w:r>
      <w:r w:rsidRPr="004C77E8">
        <w:rPr>
          <w:rStyle w:val="A8"/>
          <w:rFonts w:ascii="Arial" w:hAnsi="Arial" w:cs="Arial"/>
          <w:sz w:val="20"/>
          <w:szCs w:val="20"/>
        </w:rPr>
        <w:t>2</w:t>
      </w:r>
      <w:r w:rsidRPr="004C77E8">
        <w:rPr>
          <w:rFonts w:ascii="Arial" w:hAnsi="Arial" w:cs="Arial"/>
          <w:color w:val="000000"/>
          <w:sz w:val="20"/>
          <w:szCs w:val="20"/>
        </w:rPr>
        <w:t>-afgiften af brænd</w:t>
      </w:r>
      <w:r w:rsidRPr="004C77E8">
        <w:rPr>
          <w:rFonts w:ascii="Arial" w:hAnsi="Arial" w:cs="Arial"/>
          <w:color w:val="000000"/>
          <w:sz w:val="20"/>
          <w:szCs w:val="20"/>
        </w:rPr>
        <w:softHyphen/>
        <w:t xml:space="preserve">selsforbruget til procesformål, der er anvendt i produktionsenheder med tilladelse </w:t>
      </w:r>
      <w:bookmarkStart w:id="10" w:name="_GoBack"/>
      <w:bookmarkEnd w:id="10"/>
      <w:r w:rsidRPr="004C77E8">
        <w:rPr>
          <w:rFonts w:ascii="Arial" w:hAnsi="Arial" w:cs="Arial"/>
          <w:color w:val="000000"/>
          <w:sz w:val="20"/>
          <w:szCs w:val="20"/>
        </w:rPr>
        <w:t>til udledning af CO</w:t>
      </w:r>
      <w:r w:rsidRPr="004C77E8">
        <w:rPr>
          <w:rStyle w:val="A8"/>
          <w:rFonts w:ascii="Arial" w:hAnsi="Arial" w:cs="Arial"/>
          <w:sz w:val="20"/>
          <w:szCs w:val="20"/>
        </w:rPr>
        <w:t>2</w:t>
      </w:r>
      <w:r w:rsidRPr="004C77E8">
        <w:rPr>
          <w:rFonts w:ascii="Arial" w:hAnsi="Arial" w:cs="Arial"/>
          <w:color w:val="000000"/>
          <w:sz w:val="20"/>
          <w:szCs w:val="20"/>
        </w:rPr>
        <w:t xml:space="preserve">. </w:t>
      </w:r>
    </w:p>
    <w:p w:rsidR="009D5040" w:rsidRPr="004C77E8" w:rsidRDefault="009D5040" w:rsidP="004C77E8">
      <w:pPr>
        <w:spacing w:line="276" w:lineRule="auto"/>
        <w:jc w:val="left"/>
        <w:rPr>
          <w:rFonts w:ascii="Arial" w:hAnsi="Arial" w:cs="Arial"/>
          <w:color w:val="000000"/>
          <w:sz w:val="20"/>
          <w:szCs w:val="20"/>
        </w:rPr>
      </w:pPr>
      <w:r w:rsidRPr="004C77E8">
        <w:rPr>
          <w:rFonts w:ascii="Arial" w:hAnsi="Arial" w:cs="Arial"/>
          <w:color w:val="000000"/>
          <w:sz w:val="20"/>
          <w:szCs w:val="20"/>
        </w:rPr>
        <w:t>Ligeledes kan ikke-kvoteomfattede virksomheder få godtgjort hele CO</w:t>
      </w:r>
      <w:r w:rsidRPr="004C77E8">
        <w:rPr>
          <w:rStyle w:val="A8"/>
          <w:rFonts w:ascii="Arial" w:hAnsi="Arial" w:cs="Arial"/>
          <w:sz w:val="20"/>
          <w:szCs w:val="20"/>
        </w:rPr>
        <w:t>2</w:t>
      </w:r>
      <w:r w:rsidRPr="004C77E8">
        <w:rPr>
          <w:rFonts w:ascii="Arial" w:hAnsi="Arial" w:cs="Arial"/>
          <w:color w:val="000000"/>
          <w:sz w:val="20"/>
          <w:szCs w:val="20"/>
        </w:rPr>
        <w:t>-afgiften af CO</w:t>
      </w:r>
      <w:r w:rsidRPr="004C77E8">
        <w:rPr>
          <w:rStyle w:val="A8"/>
          <w:rFonts w:ascii="Arial" w:hAnsi="Arial" w:cs="Arial"/>
          <w:sz w:val="20"/>
          <w:szCs w:val="20"/>
        </w:rPr>
        <w:t>2</w:t>
      </w:r>
      <w:r w:rsidRPr="004C77E8">
        <w:rPr>
          <w:rFonts w:ascii="Arial" w:hAnsi="Arial" w:cs="Arial"/>
          <w:color w:val="000000"/>
          <w:sz w:val="20"/>
          <w:szCs w:val="20"/>
        </w:rPr>
        <w:t xml:space="preserve">-kvoteomfattet fjernvarme, der anvendes til procesenergi (fx opvarmning af malekabiner med fjernvarme). </w:t>
      </w:r>
    </w:p>
    <w:p w:rsidR="00793857" w:rsidRPr="004C77E8" w:rsidRDefault="00793857" w:rsidP="009D5040">
      <w:pPr>
        <w:spacing w:line="276" w:lineRule="auto"/>
        <w:jc w:val="left"/>
        <w:rPr>
          <w:rFonts w:ascii="Arial" w:hAnsi="Arial" w:cs="Arial"/>
          <w:color w:val="000000"/>
          <w:sz w:val="20"/>
          <w:szCs w:val="20"/>
        </w:rPr>
      </w:pPr>
    </w:p>
    <w:p w:rsidR="00793857" w:rsidRPr="004C77E8" w:rsidRDefault="00793857" w:rsidP="009D5040">
      <w:pPr>
        <w:spacing w:line="276" w:lineRule="auto"/>
        <w:jc w:val="left"/>
        <w:rPr>
          <w:rFonts w:ascii="Arial" w:hAnsi="Arial" w:cs="Arial"/>
          <w:b/>
          <w:color w:val="000000"/>
          <w:sz w:val="20"/>
          <w:szCs w:val="20"/>
        </w:rPr>
      </w:pPr>
      <w:r w:rsidRPr="004C77E8">
        <w:rPr>
          <w:rFonts w:ascii="Arial" w:hAnsi="Arial" w:cs="Arial"/>
          <w:b/>
          <w:color w:val="000000"/>
          <w:sz w:val="20"/>
          <w:szCs w:val="20"/>
        </w:rPr>
        <w:t>CO2-afgift</w:t>
      </w:r>
    </w:p>
    <w:p w:rsidR="00793857" w:rsidRPr="004C77E8" w:rsidRDefault="00793857" w:rsidP="009D5040">
      <w:pPr>
        <w:spacing w:line="276" w:lineRule="auto"/>
        <w:jc w:val="left"/>
        <w:rPr>
          <w:rFonts w:ascii="Arial" w:hAnsi="Arial" w:cs="Arial"/>
          <w:color w:val="000000"/>
          <w:sz w:val="20"/>
          <w:szCs w:val="20"/>
        </w:rPr>
      </w:pPr>
      <w:r w:rsidRPr="004C77E8">
        <w:rPr>
          <w:rFonts w:ascii="Arial" w:hAnsi="Arial" w:cs="Arial"/>
          <w:color w:val="000000"/>
          <w:sz w:val="20"/>
          <w:szCs w:val="20"/>
        </w:rPr>
        <w:t xml:space="preserve">Der er følgende regler om </w:t>
      </w:r>
      <w:proofErr w:type="spellStart"/>
      <w:r w:rsidRPr="004C77E8">
        <w:rPr>
          <w:rFonts w:ascii="Arial" w:hAnsi="Arial" w:cs="Arial"/>
          <w:color w:val="000000"/>
          <w:sz w:val="20"/>
          <w:szCs w:val="20"/>
        </w:rPr>
        <w:t>afgiftfritagelse</w:t>
      </w:r>
      <w:proofErr w:type="spellEnd"/>
      <w:r w:rsidRPr="004C77E8">
        <w:rPr>
          <w:rFonts w:ascii="Arial" w:hAnsi="Arial" w:cs="Arial"/>
          <w:color w:val="000000"/>
          <w:sz w:val="20"/>
          <w:szCs w:val="20"/>
        </w:rPr>
        <w:t>/godtgørelse;</w:t>
      </w:r>
      <w:r w:rsidRPr="004C77E8">
        <w:rPr>
          <w:rFonts w:ascii="Arial" w:hAnsi="Arial" w:cs="Arial"/>
          <w:color w:val="000000"/>
          <w:sz w:val="20"/>
          <w:szCs w:val="20"/>
        </w:rPr>
        <w:br/>
        <w:t>Skibe i udenrigsfart og fiskerfartøjer: fritagelse.</w:t>
      </w:r>
      <w:r w:rsidRPr="004C77E8">
        <w:rPr>
          <w:rFonts w:ascii="Arial" w:hAnsi="Arial" w:cs="Arial"/>
          <w:color w:val="000000"/>
          <w:sz w:val="20"/>
          <w:szCs w:val="20"/>
        </w:rPr>
        <w:br/>
        <w:t>Fly, erhvervsmæssigt: fritagelse.</w:t>
      </w:r>
      <w:r w:rsidRPr="004C77E8">
        <w:rPr>
          <w:rFonts w:ascii="Arial" w:hAnsi="Arial" w:cs="Arial"/>
          <w:color w:val="000000"/>
          <w:sz w:val="20"/>
          <w:szCs w:val="20"/>
        </w:rPr>
        <w:br/>
        <w:t>Kvoteomfattet produktion af elektricitet.</w:t>
      </w:r>
      <w:r w:rsidRPr="004C77E8">
        <w:rPr>
          <w:rFonts w:ascii="Arial" w:hAnsi="Arial" w:cs="Arial"/>
          <w:color w:val="000000"/>
          <w:sz w:val="20"/>
          <w:szCs w:val="20"/>
        </w:rPr>
        <w:br/>
        <w:t>Jernbane: afgiftsfrihed for kul mv. men ikke mineralolieprodukter.</w:t>
      </w:r>
      <w:r w:rsidRPr="004C77E8">
        <w:rPr>
          <w:rFonts w:ascii="Arial" w:hAnsi="Arial" w:cs="Arial"/>
          <w:color w:val="000000"/>
          <w:sz w:val="20"/>
          <w:szCs w:val="20"/>
        </w:rPr>
        <w:br/>
        <w:t>Færgedrift: afgiftsfrihed.</w:t>
      </w:r>
    </w:p>
    <w:p w:rsidR="002B100B" w:rsidRPr="004C77E8" w:rsidRDefault="002B100B" w:rsidP="002B100B">
      <w:pPr>
        <w:pStyle w:val="Default"/>
        <w:rPr>
          <w:rFonts w:ascii="Arial" w:hAnsi="Arial" w:cs="Arial"/>
          <w:sz w:val="20"/>
          <w:szCs w:val="20"/>
        </w:rPr>
      </w:pPr>
      <w:r w:rsidRPr="004C77E8">
        <w:rPr>
          <w:rFonts w:ascii="Arial" w:hAnsi="Arial" w:cs="Arial"/>
          <w:sz w:val="20"/>
          <w:szCs w:val="20"/>
        </w:rPr>
        <w:t>Der kan dog opnås et bundfradrag i CO2-afgiften, hvis den er omfattet af de særlige processer.</w:t>
      </w:r>
    </w:p>
    <w:p w:rsidR="006B32BD" w:rsidRPr="004C77E8" w:rsidRDefault="006B32BD" w:rsidP="002B100B">
      <w:pPr>
        <w:pStyle w:val="Default"/>
        <w:rPr>
          <w:rFonts w:ascii="Arial" w:hAnsi="Arial" w:cs="Arial"/>
          <w:sz w:val="20"/>
          <w:szCs w:val="20"/>
        </w:rPr>
      </w:pPr>
      <w:r w:rsidRPr="004C77E8">
        <w:rPr>
          <w:rFonts w:ascii="Arial" w:hAnsi="Arial" w:cs="Arial"/>
          <w:sz w:val="20"/>
          <w:szCs w:val="20"/>
        </w:rPr>
        <w:t xml:space="preserve">Derfor beregnes afgiften for branche-vare med flere formål ved, at der først beregnes fuld CO2-afgift af den del, der går til rumvarme og almindelig proces. Resten tilskrives særlig proces. </w:t>
      </w:r>
    </w:p>
    <w:p w:rsidR="002B100B" w:rsidRPr="004C77E8" w:rsidRDefault="002B100B" w:rsidP="009D5040">
      <w:pPr>
        <w:spacing w:line="276" w:lineRule="auto"/>
        <w:jc w:val="left"/>
        <w:rPr>
          <w:rFonts w:ascii="Arial" w:hAnsi="Arial" w:cs="Arial"/>
          <w:color w:val="000000"/>
          <w:sz w:val="20"/>
          <w:szCs w:val="20"/>
        </w:rPr>
      </w:pPr>
    </w:p>
    <w:p w:rsidR="004640C2" w:rsidRPr="004C77E8" w:rsidRDefault="004942F0" w:rsidP="009D5040">
      <w:pPr>
        <w:spacing w:line="276" w:lineRule="auto"/>
        <w:jc w:val="left"/>
        <w:rPr>
          <w:rFonts w:ascii="Arial" w:hAnsi="Arial" w:cs="Arial"/>
          <w:b/>
          <w:color w:val="000000"/>
          <w:sz w:val="20"/>
          <w:szCs w:val="20"/>
        </w:rPr>
      </w:pPr>
      <w:r w:rsidRPr="004C77E8">
        <w:rPr>
          <w:rFonts w:ascii="Arial" w:hAnsi="Arial" w:cs="Arial"/>
          <w:b/>
          <w:color w:val="000000"/>
          <w:sz w:val="20"/>
          <w:szCs w:val="20"/>
        </w:rPr>
        <w:t>Svovlafgift</w:t>
      </w:r>
    </w:p>
    <w:p w:rsidR="004942F0" w:rsidRPr="004C77E8" w:rsidRDefault="004942F0" w:rsidP="009D5040">
      <w:pPr>
        <w:spacing w:line="276" w:lineRule="auto"/>
        <w:jc w:val="left"/>
        <w:rPr>
          <w:rFonts w:ascii="Arial" w:hAnsi="Arial" w:cs="Arial"/>
          <w:color w:val="000000"/>
          <w:sz w:val="20"/>
          <w:szCs w:val="20"/>
        </w:rPr>
      </w:pPr>
      <w:r w:rsidRPr="004C77E8">
        <w:rPr>
          <w:rFonts w:ascii="Arial" w:hAnsi="Arial" w:cs="Arial"/>
          <w:color w:val="000000"/>
          <w:sz w:val="20"/>
          <w:szCs w:val="20"/>
        </w:rPr>
        <w:t xml:space="preserve">Der kan opnås godtgørelse af svovlafgift for den del af svovlet, der er bundet i aske eller fjernes fra røgen ved rensning. Det antages, at det især er på større anlæg, at der røgen renses. For langt de fleste brancher er der samme svovlafgift per mængdeenhed. </w:t>
      </w:r>
      <w:r w:rsidR="004F6624" w:rsidRPr="004C77E8">
        <w:rPr>
          <w:rFonts w:ascii="Arial" w:hAnsi="Arial" w:cs="Arial"/>
          <w:color w:val="000000"/>
          <w:sz w:val="20"/>
          <w:szCs w:val="20"/>
        </w:rPr>
        <w:t xml:space="preserve">Desuden er det relativt lave beløb for de vare-brancher, hvor der er en opdeling på formål. På den enkelte virksomhed, kan man antage, at der er samme grad af røgrensning. Forbrænding af f.eks. fyringsolie, hvor varmen anvendes til flere formål sker i et anlæg med samme grad af </w:t>
      </w:r>
      <w:proofErr w:type="spellStart"/>
      <w:r w:rsidR="004F6624" w:rsidRPr="004C77E8">
        <w:rPr>
          <w:rFonts w:ascii="Arial" w:hAnsi="Arial" w:cs="Arial"/>
          <w:color w:val="000000"/>
          <w:sz w:val="20"/>
          <w:szCs w:val="20"/>
        </w:rPr>
        <w:t>røgrensing</w:t>
      </w:r>
      <w:proofErr w:type="spellEnd"/>
      <w:r w:rsidR="004C77E8">
        <w:rPr>
          <w:rFonts w:ascii="Arial" w:hAnsi="Arial" w:cs="Arial"/>
          <w:color w:val="000000"/>
          <w:sz w:val="20"/>
          <w:szCs w:val="20"/>
        </w:rPr>
        <w:t>.</w:t>
      </w:r>
      <w:r w:rsidR="004F6624" w:rsidRPr="004C77E8">
        <w:rPr>
          <w:rFonts w:ascii="Arial" w:hAnsi="Arial" w:cs="Arial"/>
          <w:color w:val="000000"/>
          <w:sz w:val="20"/>
          <w:szCs w:val="20"/>
        </w:rPr>
        <w:t xml:space="preserve"> Det er derfor valgt, at </w:t>
      </w:r>
      <w:r w:rsidR="00DB126B">
        <w:rPr>
          <w:rFonts w:ascii="Arial" w:hAnsi="Arial" w:cs="Arial"/>
          <w:color w:val="000000"/>
          <w:sz w:val="20"/>
          <w:szCs w:val="20"/>
        </w:rPr>
        <w:t>s</w:t>
      </w:r>
      <w:r w:rsidR="004F6624" w:rsidRPr="004C77E8">
        <w:rPr>
          <w:rFonts w:ascii="Arial" w:hAnsi="Arial" w:cs="Arial"/>
          <w:color w:val="000000"/>
          <w:sz w:val="20"/>
          <w:szCs w:val="20"/>
        </w:rPr>
        <w:t>vovlafgiften fordeles med samme fordelingstal som mængden.</w:t>
      </w:r>
    </w:p>
    <w:p w:rsidR="004942F0" w:rsidRPr="004C77E8" w:rsidRDefault="004942F0" w:rsidP="009D5040">
      <w:pPr>
        <w:spacing w:line="276" w:lineRule="auto"/>
        <w:jc w:val="left"/>
        <w:rPr>
          <w:rFonts w:ascii="Arial" w:hAnsi="Arial" w:cs="Arial"/>
          <w:color w:val="000000"/>
          <w:sz w:val="20"/>
          <w:szCs w:val="20"/>
        </w:rPr>
      </w:pPr>
    </w:p>
    <w:p w:rsidR="004640C2" w:rsidRPr="004C77E8" w:rsidRDefault="004640C2" w:rsidP="009D5040">
      <w:pPr>
        <w:spacing w:line="276" w:lineRule="auto"/>
        <w:jc w:val="left"/>
        <w:rPr>
          <w:rFonts w:ascii="Arial" w:hAnsi="Arial" w:cs="Arial"/>
          <w:b/>
          <w:color w:val="000000"/>
          <w:sz w:val="20"/>
          <w:szCs w:val="20"/>
        </w:rPr>
      </w:pPr>
      <w:r w:rsidRPr="004C77E8">
        <w:rPr>
          <w:rFonts w:ascii="Arial" w:hAnsi="Arial" w:cs="Arial"/>
          <w:b/>
          <w:color w:val="000000"/>
          <w:sz w:val="20"/>
          <w:szCs w:val="20"/>
        </w:rPr>
        <w:lastRenderedPageBreak/>
        <w:t>Opdeling i særlige processer og almindelig proces indenfor landbrug og gartneri</w:t>
      </w:r>
    </w:p>
    <w:p w:rsidR="004640C2" w:rsidRPr="004C77E8" w:rsidRDefault="001E0FA2" w:rsidP="0061187D">
      <w:pPr>
        <w:pStyle w:val="Default"/>
        <w:rPr>
          <w:rFonts w:ascii="Arial" w:hAnsi="Arial" w:cs="Arial"/>
          <w:sz w:val="20"/>
          <w:szCs w:val="20"/>
        </w:rPr>
      </w:pPr>
      <w:r w:rsidRPr="004C77E8">
        <w:rPr>
          <w:rFonts w:ascii="Arial" w:hAnsi="Arial" w:cs="Arial"/>
          <w:sz w:val="20"/>
          <w:szCs w:val="20"/>
        </w:rPr>
        <w:t xml:space="preserve">Væksthuse (over 200m2) er defineret som særlig proces. </w:t>
      </w:r>
      <w:r w:rsidR="0061187D" w:rsidRPr="004C77E8">
        <w:rPr>
          <w:rFonts w:ascii="Arial" w:hAnsi="Arial" w:cs="Arial"/>
          <w:sz w:val="20"/>
          <w:szCs w:val="20"/>
        </w:rPr>
        <w:t>Information om energi anvendt til opvarmning af væksthuse findes i statistikken ”regnskabsstatistik for jordbrug”, tabellen JORD9 ”Energiforbrug for heltidsbedrifter”.</w:t>
      </w:r>
    </w:p>
    <w:p w:rsidR="00EB343E" w:rsidRPr="004C77E8" w:rsidRDefault="00EB343E" w:rsidP="0061187D">
      <w:pPr>
        <w:pStyle w:val="Default"/>
        <w:rPr>
          <w:rFonts w:ascii="Arial" w:hAnsi="Arial" w:cs="Arial"/>
          <w:sz w:val="20"/>
          <w:szCs w:val="20"/>
        </w:rPr>
      </w:pPr>
      <w:r w:rsidRPr="004C77E8">
        <w:rPr>
          <w:rFonts w:ascii="Arial" w:hAnsi="Arial" w:cs="Arial"/>
          <w:sz w:val="20"/>
          <w:szCs w:val="20"/>
        </w:rPr>
        <w:t xml:space="preserve">Ud fra denne statistik, </w:t>
      </w:r>
      <w:r w:rsidR="00B50A53">
        <w:rPr>
          <w:rFonts w:ascii="Arial" w:hAnsi="Arial" w:cs="Arial"/>
          <w:sz w:val="20"/>
          <w:szCs w:val="20"/>
        </w:rPr>
        <w:t xml:space="preserve">er der </w:t>
      </w:r>
      <w:r w:rsidR="000E5EB2" w:rsidRPr="004C77E8">
        <w:rPr>
          <w:rFonts w:ascii="Arial" w:hAnsi="Arial" w:cs="Arial"/>
          <w:sz w:val="20"/>
          <w:szCs w:val="20"/>
        </w:rPr>
        <w:t>beregne</w:t>
      </w:r>
      <w:r w:rsidR="00B50A53">
        <w:rPr>
          <w:rFonts w:ascii="Arial" w:hAnsi="Arial" w:cs="Arial"/>
          <w:sz w:val="20"/>
          <w:szCs w:val="20"/>
        </w:rPr>
        <w:t>t</w:t>
      </w:r>
      <w:r w:rsidR="000E5EB2" w:rsidRPr="004C77E8">
        <w:rPr>
          <w:rFonts w:ascii="Arial" w:hAnsi="Arial" w:cs="Arial"/>
          <w:sz w:val="20"/>
          <w:szCs w:val="20"/>
        </w:rPr>
        <w:t xml:space="preserve"> særlig proces for</w:t>
      </w:r>
      <w:r w:rsidRPr="004C77E8">
        <w:rPr>
          <w:rFonts w:ascii="Arial" w:hAnsi="Arial" w:cs="Arial"/>
          <w:sz w:val="20"/>
          <w:szCs w:val="20"/>
        </w:rPr>
        <w:t xml:space="preserve"> varerne naturgas, fjernvarme, fuelolie</w:t>
      </w:r>
      <w:r w:rsidR="000E5EB2" w:rsidRPr="004C77E8">
        <w:rPr>
          <w:rFonts w:ascii="Arial" w:hAnsi="Arial" w:cs="Arial"/>
          <w:sz w:val="20"/>
          <w:szCs w:val="20"/>
        </w:rPr>
        <w:t>,</w:t>
      </w:r>
      <w:r w:rsidRPr="004C77E8">
        <w:rPr>
          <w:rFonts w:ascii="Arial" w:hAnsi="Arial" w:cs="Arial"/>
          <w:sz w:val="20"/>
          <w:szCs w:val="20"/>
        </w:rPr>
        <w:t xml:space="preserve"> kul i</w:t>
      </w:r>
      <w:r w:rsidR="000E5EB2" w:rsidRPr="004C77E8">
        <w:rPr>
          <w:rFonts w:ascii="Arial" w:hAnsi="Arial" w:cs="Arial"/>
          <w:sz w:val="20"/>
          <w:szCs w:val="20"/>
        </w:rPr>
        <w:t>nden for jordbrug.</w:t>
      </w:r>
      <w:r w:rsidRPr="004C77E8">
        <w:rPr>
          <w:rFonts w:ascii="Arial" w:hAnsi="Arial" w:cs="Arial"/>
          <w:sz w:val="20"/>
          <w:szCs w:val="20"/>
        </w:rPr>
        <w:t xml:space="preserve"> Det beregnede forbrug af let olie tages fra fyringsgasolie og anden energi antages at være varmepumper, da jordbrug samlet har et forbrug </w:t>
      </w:r>
      <w:r w:rsidR="003A6572" w:rsidRPr="004C77E8">
        <w:rPr>
          <w:rFonts w:ascii="Arial" w:hAnsi="Arial" w:cs="Arial"/>
          <w:sz w:val="20"/>
          <w:szCs w:val="20"/>
        </w:rPr>
        <w:t>på 7,8 mio. GJ energi fra varmepumper.</w:t>
      </w:r>
    </w:p>
    <w:p w:rsidR="0061187D" w:rsidRPr="004C77E8" w:rsidRDefault="0061187D" w:rsidP="0061187D">
      <w:pPr>
        <w:pStyle w:val="Default"/>
        <w:rPr>
          <w:rFonts w:ascii="Arial" w:hAnsi="Arial" w:cs="Arial"/>
          <w:sz w:val="20"/>
          <w:szCs w:val="20"/>
        </w:rPr>
      </w:pPr>
    </w:p>
    <w:p w:rsidR="00183B76" w:rsidRPr="004C77E8" w:rsidRDefault="00183B76" w:rsidP="0061187D">
      <w:pPr>
        <w:pStyle w:val="Default"/>
        <w:rPr>
          <w:rFonts w:ascii="Arial" w:hAnsi="Arial" w:cs="Arial"/>
          <w:sz w:val="20"/>
          <w:szCs w:val="20"/>
        </w:rPr>
      </w:pPr>
    </w:p>
    <w:p w:rsidR="00183B76" w:rsidRPr="004C77E8" w:rsidRDefault="00183B76" w:rsidP="0061187D">
      <w:pPr>
        <w:pStyle w:val="Default"/>
        <w:rPr>
          <w:rFonts w:ascii="Arial" w:hAnsi="Arial" w:cs="Arial"/>
          <w:b/>
          <w:sz w:val="20"/>
          <w:szCs w:val="20"/>
        </w:rPr>
      </w:pPr>
      <w:r w:rsidRPr="004C77E8">
        <w:rPr>
          <w:rFonts w:ascii="Arial" w:hAnsi="Arial" w:cs="Arial"/>
          <w:b/>
          <w:sz w:val="20"/>
          <w:szCs w:val="20"/>
        </w:rPr>
        <w:t>Afgiftsfordeling</w:t>
      </w:r>
    </w:p>
    <w:p w:rsidR="00167125" w:rsidRPr="004C77E8" w:rsidRDefault="00183B76" w:rsidP="0061187D">
      <w:pPr>
        <w:pStyle w:val="Default"/>
        <w:rPr>
          <w:rFonts w:ascii="Arial" w:hAnsi="Arial" w:cs="Arial"/>
          <w:sz w:val="20"/>
          <w:szCs w:val="20"/>
        </w:rPr>
      </w:pPr>
      <w:r w:rsidRPr="004C77E8">
        <w:rPr>
          <w:rFonts w:ascii="Arial" w:hAnsi="Arial" w:cs="Arial"/>
          <w:sz w:val="20"/>
          <w:szCs w:val="20"/>
        </w:rPr>
        <w:t xml:space="preserve">Fordelingstal til </w:t>
      </w:r>
      <w:r w:rsidR="00DB126B">
        <w:rPr>
          <w:rFonts w:ascii="Arial" w:hAnsi="Arial" w:cs="Arial"/>
          <w:sz w:val="20"/>
          <w:szCs w:val="20"/>
        </w:rPr>
        <w:t>energiafgifter</w:t>
      </w:r>
      <w:r w:rsidRPr="004C77E8">
        <w:rPr>
          <w:rFonts w:ascii="Arial" w:hAnsi="Arial" w:cs="Arial"/>
          <w:sz w:val="20"/>
          <w:szCs w:val="20"/>
        </w:rPr>
        <w:t xml:space="preserve"> og </w:t>
      </w:r>
      <w:r w:rsidR="00DB126B">
        <w:rPr>
          <w:rFonts w:ascii="Arial" w:hAnsi="Arial" w:cs="Arial"/>
          <w:sz w:val="20"/>
          <w:szCs w:val="20"/>
        </w:rPr>
        <w:t>CO2-</w:t>
      </w:r>
      <w:r w:rsidRPr="004C77E8">
        <w:rPr>
          <w:rFonts w:ascii="Arial" w:hAnsi="Arial" w:cs="Arial"/>
          <w:sz w:val="20"/>
          <w:szCs w:val="20"/>
        </w:rPr>
        <w:t>afg</w:t>
      </w:r>
      <w:r w:rsidR="00DB126B">
        <w:rPr>
          <w:rFonts w:ascii="Arial" w:hAnsi="Arial" w:cs="Arial"/>
          <w:sz w:val="20"/>
          <w:szCs w:val="20"/>
        </w:rPr>
        <w:t>ifter</w:t>
      </w:r>
      <w:r w:rsidRPr="004C77E8">
        <w:rPr>
          <w:rFonts w:ascii="Arial" w:hAnsi="Arial" w:cs="Arial"/>
          <w:sz w:val="20"/>
          <w:szCs w:val="20"/>
        </w:rPr>
        <w:t xml:space="preserve"> sker efter mængdeandele og </w:t>
      </w:r>
      <w:proofErr w:type="spellStart"/>
      <w:r w:rsidRPr="004C77E8">
        <w:rPr>
          <w:rFonts w:ascii="Arial" w:hAnsi="Arial" w:cs="Arial"/>
          <w:sz w:val="20"/>
          <w:szCs w:val="20"/>
        </w:rPr>
        <w:t>afgiftprocenter</w:t>
      </w:r>
      <w:proofErr w:type="spellEnd"/>
      <w:r w:rsidRPr="004C77E8">
        <w:rPr>
          <w:rFonts w:ascii="Arial" w:hAnsi="Arial" w:cs="Arial"/>
          <w:sz w:val="20"/>
          <w:szCs w:val="20"/>
        </w:rPr>
        <w:t xml:space="preserve">, der hvor der er en specifik fordeling af disse. </w:t>
      </w:r>
    </w:p>
    <w:p w:rsidR="00167125" w:rsidRPr="004C77E8" w:rsidRDefault="00167125" w:rsidP="0061187D">
      <w:pPr>
        <w:pStyle w:val="Default"/>
        <w:rPr>
          <w:rFonts w:ascii="Arial" w:hAnsi="Arial" w:cs="Arial"/>
          <w:sz w:val="20"/>
          <w:szCs w:val="20"/>
        </w:rPr>
      </w:pPr>
      <w:r w:rsidRPr="004C77E8">
        <w:rPr>
          <w:rFonts w:ascii="Arial" w:hAnsi="Arial" w:cs="Arial"/>
          <w:sz w:val="20"/>
          <w:szCs w:val="20"/>
        </w:rPr>
        <w:t>For varer-branche, hvor alt forbrug er ét formål er hele afgiften på dette formål.</w:t>
      </w:r>
    </w:p>
    <w:p w:rsidR="00167125" w:rsidRPr="004C77E8" w:rsidRDefault="00167125" w:rsidP="00183B76">
      <w:pPr>
        <w:pStyle w:val="Default"/>
        <w:rPr>
          <w:rFonts w:ascii="Arial" w:hAnsi="Arial" w:cs="Arial"/>
          <w:sz w:val="20"/>
          <w:szCs w:val="20"/>
        </w:rPr>
      </w:pPr>
      <w:r w:rsidRPr="004C77E8">
        <w:rPr>
          <w:rFonts w:ascii="Arial" w:hAnsi="Arial" w:cs="Arial"/>
          <w:sz w:val="20"/>
          <w:szCs w:val="20"/>
        </w:rPr>
        <w:t xml:space="preserve">For de øvrige </w:t>
      </w:r>
      <w:r w:rsidR="00DB126B">
        <w:rPr>
          <w:rFonts w:ascii="Arial" w:hAnsi="Arial" w:cs="Arial"/>
          <w:sz w:val="20"/>
          <w:szCs w:val="20"/>
        </w:rPr>
        <w:t xml:space="preserve">er der foretaget </w:t>
      </w:r>
      <w:r w:rsidRPr="004C77E8">
        <w:rPr>
          <w:rFonts w:ascii="Arial" w:hAnsi="Arial" w:cs="Arial"/>
          <w:sz w:val="20"/>
          <w:szCs w:val="20"/>
        </w:rPr>
        <w:t>formålsspecifik beregning af afgifterne.</w:t>
      </w:r>
    </w:p>
    <w:sectPr w:rsidR="00167125" w:rsidRPr="004C77E8" w:rsidSect="00CF4972">
      <w:headerReference w:type="default" r:id="rId11"/>
      <w:footerReference w:type="default" r:id="rId12"/>
      <w:type w:val="continuous"/>
      <w:pgSz w:w="11906" w:h="16838" w:code="9"/>
      <w:pgMar w:top="1021" w:right="794" w:bottom="1247" w:left="3742"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0859" w:rsidRDefault="008F0859" w:rsidP="00E816D9">
      <w:r>
        <w:separator/>
      </w:r>
    </w:p>
  </w:endnote>
  <w:endnote w:type="continuationSeparator" w:id="0">
    <w:p w:rsidR="008F0859" w:rsidRDefault="008F0859" w:rsidP="00E81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 Charter Com">
    <w:altName w:val="ITC Charter C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2831307"/>
      <w:docPartObj>
        <w:docPartGallery w:val="Page Numbers (Bottom of Page)"/>
        <w:docPartUnique/>
      </w:docPartObj>
    </w:sdtPr>
    <w:sdtEndPr/>
    <w:sdtContent>
      <w:p w:rsidR="00477A47" w:rsidRDefault="00477A47" w:rsidP="00303413">
        <w:pPr>
          <w:pStyle w:val="Sidefod"/>
          <w:jc w:val="right"/>
        </w:pPr>
        <w:r>
          <w:fldChar w:fldCharType="begin"/>
        </w:r>
        <w:r>
          <w:instrText>PAGE   \* MERGEFORMAT</w:instrText>
        </w:r>
        <w:r>
          <w:fldChar w:fldCharType="separate"/>
        </w:r>
        <w:r w:rsidR="00D57FC4">
          <w:rPr>
            <w:noProof/>
          </w:rPr>
          <w:t>2</w:t>
        </w:r>
        <w:r>
          <w:fldChar w:fldCharType="end"/>
        </w:r>
        <w:r>
          <w:t>/</w:t>
        </w:r>
        <w:r w:rsidR="000E354B">
          <w:fldChar w:fldCharType="begin"/>
        </w:r>
        <w:r w:rsidR="000E354B">
          <w:instrText xml:space="preserve"> NUMPAGES   \* MERGEFORMAT </w:instrText>
        </w:r>
        <w:r w:rsidR="000E354B">
          <w:fldChar w:fldCharType="separate"/>
        </w:r>
        <w:r w:rsidR="00D57FC4">
          <w:rPr>
            <w:noProof/>
          </w:rPr>
          <w:t>2</w:t>
        </w:r>
        <w:r w:rsidR="000E354B">
          <w:rPr>
            <w:noProof/>
          </w:rPr>
          <w:fldChar w:fldCharType="end"/>
        </w:r>
      </w:p>
    </w:sdtContent>
  </w:sdt>
  <w:p w:rsidR="00477A47" w:rsidRDefault="00477A47">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A19" w:rsidRPr="007402DE" w:rsidRDefault="00BC5A19" w:rsidP="007402DE">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0859" w:rsidRDefault="008F0859" w:rsidP="00E816D9">
      <w:r>
        <w:separator/>
      </w:r>
    </w:p>
  </w:footnote>
  <w:footnote w:type="continuationSeparator" w:id="0">
    <w:p w:rsidR="008F0859" w:rsidRDefault="008F0859" w:rsidP="00E816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A19" w:rsidRDefault="00BC5A19">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445C10E4"/>
    <w:lvl w:ilvl="0">
      <w:start w:val="1"/>
      <w:numFmt w:val="bullet"/>
      <w:pStyle w:val="Opstilling-punkttegn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1CE0366"/>
    <w:lvl w:ilvl="0">
      <w:start w:val="1"/>
      <w:numFmt w:val="bullet"/>
      <w:pStyle w:val="Opstilling-punkttegn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BBD6A118"/>
    <w:lvl w:ilvl="0">
      <w:start w:val="1"/>
      <w:numFmt w:val="decimal"/>
      <w:pStyle w:val="Opstilling-talellerbogst"/>
      <w:lvlText w:val="%1."/>
      <w:lvlJc w:val="left"/>
      <w:pPr>
        <w:tabs>
          <w:tab w:val="num" w:pos="360"/>
        </w:tabs>
        <w:ind w:left="360" w:hanging="360"/>
      </w:pPr>
    </w:lvl>
  </w:abstractNum>
  <w:abstractNum w:abstractNumId="3" w15:restartNumberingAfterBreak="0">
    <w:nsid w:val="FFFFFF89"/>
    <w:multiLevelType w:val="singleLevel"/>
    <w:tmpl w:val="FF5C0192"/>
    <w:lvl w:ilvl="0">
      <w:start w:val="1"/>
      <w:numFmt w:val="bullet"/>
      <w:pStyle w:val="Opstilling-punkttegn"/>
      <w:lvlText w:val=""/>
      <w:lvlJc w:val="left"/>
      <w:pPr>
        <w:tabs>
          <w:tab w:val="num" w:pos="360"/>
        </w:tabs>
        <w:ind w:left="360" w:hanging="360"/>
      </w:pPr>
      <w:rPr>
        <w:rFonts w:ascii="Symbol" w:hAnsi="Symbol" w:hint="default"/>
      </w:rPr>
    </w:lvl>
  </w:abstractNum>
  <w:abstractNum w:abstractNumId="4" w15:restartNumberingAfterBreak="0">
    <w:nsid w:val="019840EA"/>
    <w:multiLevelType w:val="hybridMultilevel"/>
    <w:tmpl w:val="C002863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0CDD3616"/>
    <w:multiLevelType w:val="hybridMultilevel"/>
    <w:tmpl w:val="EAFA0A92"/>
    <w:lvl w:ilvl="0" w:tplc="933CCE24">
      <w:start w:val="1"/>
      <w:numFmt w:val="decimal"/>
      <w:lvlText w:val="%1)"/>
      <w:lvlJc w:val="left"/>
      <w:pPr>
        <w:ind w:left="1080" w:hanging="36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6" w15:restartNumberingAfterBreak="0">
    <w:nsid w:val="2CFF661B"/>
    <w:multiLevelType w:val="hybridMultilevel"/>
    <w:tmpl w:val="D3982A88"/>
    <w:lvl w:ilvl="0" w:tplc="1C8207B4">
      <w:numFmt w:val="bullet"/>
      <w:lvlText w:val="-"/>
      <w:lvlJc w:val="left"/>
      <w:pPr>
        <w:ind w:left="720" w:hanging="360"/>
      </w:pPr>
      <w:rPr>
        <w:rFonts w:ascii="Georgia" w:eastAsia="Times New Roman" w:hAnsi="Georgia" w:cs="Times New Roman"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321B7770"/>
    <w:multiLevelType w:val="hybridMultilevel"/>
    <w:tmpl w:val="C002863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344732CD"/>
    <w:multiLevelType w:val="hybridMultilevel"/>
    <w:tmpl w:val="636A470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389B414F"/>
    <w:multiLevelType w:val="hybridMultilevel"/>
    <w:tmpl w:val="C002863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4D14489B"/>
    <w:multiLevelType w:val="hybridMultilevel"/>
    <w:tmpl w:val="C002863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3"/>
  </w:num>
  <w:num w:numId="2">
    <w:abstractNumId w:val="3"/>
  </w:num>
  <w:num w:numId="3">
    <w:abstractNumId w:val="1"/>
  </w:num>
  <w:num w:numId="4">
    <w:abstractNumId w:val="1"/>
  </w:num>
  <w:num w:numId="5">
    <w:abstractNumId w:val="0"/>
  </w:num>
  <w:num w:numId="6">
    <w:abstractNumId w:val="0"/>
  </w:num>
  <w:num w:numId="7">
    <w:abstractNumId w:val="2"/>
  </w:num>
  <w:num w:numId="8">
    <w:abstractNumId w:val="2"/>
  </w:num>
  <w:num w:numId="9">
    <w:abstractNumId w:val="3"/>
  </w:num>
  <w:num w:numId="10">
    <w:abstractNumId w:val="1"/>
  </w:num>
  <w:num w:numId="11">
    <w:abstractNumId w:val="0"/>
  </w:num>
  <w:num w:numId="12">
    <w:abstractNumId w:val="2"/>
  </w:num>
  <w:num w:numId="13">
    <w:abstractNumId w:val="6"/>
  </w:num>
  <w:num w:numId="14">
    <w:abstractNumId w:val="10"/>
  </w:num>
  <w:num w:numId="15">
    <w:abstractNumId w:val="5"/>
  </w:num>
  <w:num w:numId="16">
    <w:abstractNumId w:val="7"/>
  </w:num>
  <w:num w:numId="17">
    <w:abstractNumId w:val="4"/>
  </w:num>
  <w:num w:numId="18">
    <w:abstractNumId w:val="9"/>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1304"/>
  <w:autoHyphenation/>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07F"/>
    <w:rsid w:val="0001253D"/>
    <w:rsid w:val="00027492"/>
    <w:rsid w:val="00036441"/>
    <w:rsid w:val="000553B1"/>
    <w:rsid w:val="00056AEA"/>
    <w:rsid w:val="00065CAA"/>
    <w:rsid w:val="00066A92"/>
    <w:rsid w:val="00091C25"/>
    <w:rsid w:val="000A1E52"/>
    <w:rsid w:val="000A6724"/>
    <w:rsid w:val="000B7DE5"/>
    <w:rsid w:val="000C0111"/>
    <w:rsid w:val="000E354B"/>
    <w:rsid w:val="000E408D"/>
    <w:rsid w:val="000E5EB2"/>
    <w:rsid w:val="000F225A"/>
    <w:rsid w:val="0010220B"/>
    <w:rsid w:val="00115350"/>
    <w:rsid w:val="00126A89"/>
    <w:rsid w:val="00135440"/>
    <w:rsid w:val="00146064"/>
    <w:rsid w:val="0014783C"/>
    <w:rsid w:val="00167125"/>
    <w:rsid w:val="00172692"/>
    <w:rsid w:val="00183B76"/>
    <w:rsid w:val="00193025"/>
    <w:rsid w:val="001A24CC"/>
    <w:rsid w:val="001B0C38"/>
    <w:rsid w:val="001B1BDD"/>
    <w:rsid w:val="001B6BA8"/>
    <w:rsid w:val="001C42BD"/>
    <w:rsid w:val="001E0FA2"/>
    <w:rsid w:val="001E11B9"/>
    <w:rsid w:val="001E2EB1"/>
    <w:rsid w:val="001E4112"/>
    <w:rsid w:val="00204C0E"/>
    <w:rsid w:val="0021097A"/>
    <w:rsid w:val="00216E61"/>
    <w:rsid w:val="00222FC3"/>
    <w:rsid w:val="0022497E"/>
    <w:rsid w:val="00240FC5"/>
    <w:rsid w:val="00247266"/>
    <w:rsid w:val="0025108F"/>
    <w:rsid w:val="002544EF"/>
    <w:rsid w:val="002628D0"/>
    <w:rsid w:val="00282D21"/>
    <w:rsid w:val="00283326"/>
    <w:rsid w:val="00292888"/>
    <w:rsid w:val="00292D1E"/>
    <w:rsid w:val="00294654"/>
    <w:rsid w:val="002955AB"/>
    <w:rsid w:val="002A1914"/>
    <w:rsid w:val="002B100B"/>
    <w:rsid w:val="002B107B"/>
    <w:rsid w:val="002C07BE"/>
    <w:rsid w:val="002E70D1"/>
    <w:rsid w:val="002F6235"/>
    <w:rsid w:val="00304207"/>
    <w:rsid w:val="00332DE5"/>
    <w:rsid w:val="00333025"/>
    <w:rsid w:val="00335E65"/>
    <w:rsid w:val="0035259D"/>
    <w:rsid w:val="00353326"/>
    <w:rsid w:val="00372B38"/>
    <w:rsid w:val="00390B6C"/>
    <w:rsid w:val="00392C71"/>
    <w:rsid w:val="003A6572"/>
    <w:rsid w:val="003B1BD3"/>
    <w:rsid w:val="003C5D0C"/>
    <w:rsid w:val="003E0228"/>
    <w:rsid w:val="00401CF4"/>
    <w:rsid w:val="004029D3"/>
    <w:rsid w:val="00405A07"/>
    <w:rsid w:val="004079D8"/>
    <w:rsid w:val="00426D92"/>
    <w:rsid w:val="00435850"/>
    <w:rsid w:val="00436E94"/>
    <w:rsid w:val="004640C2"/>
    <w:rsid w:val="004700F8"/>
    <w:rsid w:val="00477A47"/>
    <w:rsid w:val="004874BA"/>
    <w:rsid w:val="00492D83"/>
    <w:rsid w:val="004942F0"/>
    <w:rsid w:val="004B589E"/>
    <w:rsid w:val="004B770C"/>
    <w:rsid w:val="004C5FDA"/>
    <w:rsid w:val="004C77E8"/>
    <w:rsid w:val="004D007F"/>
    <w:rsid w:val="004D2E54"/>
    <w:rsid w:val="004D3DE5"/>
    <w:rsid w:val="004E26B6"/>
    <w:rsid w:val="004F6624"/>
    <w:rsid w:val="005042B7"/>
    <w:rsid w:val="00505FB4"/>
    <w:rsid w:val="00515E91"/>
    <w:rsid w:val="005213FF"/>
    <w:rsid w:val="0052738C"/>
    <w:rsid w:val="005549B4"/>
    <w:rsid w:val="0056349C"/>
    <w:rsid w:val="00564D4E"/>
    <w:rsid w:val="005721F1"/>
    <w:rsid w:val="00572CF1"/>
    <w:rsid w:val="0058085A"/>
    <w:rsid w:val="005929C2"/>
    <w:rsid w:val="005B3619"/>
    <w:rsid w:val="005C2726"/>
    <w:rsid w:val="005E7ED1"/>
    <w:rsid w:val="0061187D"/>
    <w:rsid w:val="00611F38"/>
    <w:rsid w:val="00647B65"/>
    <w:rsid w:val="00653C8E"/>
    <w:rsid w:val="00666874"/>
    <w:rsid w:val="00673F98"/>
    <w:rsid w:val="00675689"/>
    <w:rsid w:val="006767E2"/>
    <w:rsid w:val="006809C7"/>
    <w:rsid w:val="00683F9B"/>
    <w:rsid w:val="00686B5C"/>
    <w:rsid w:val="00690995"/>
    <w:rsid w:val="006914C1"/>
    <w:rsid w:val="00697087"/>
    <w:rsid w:val="006A106D"/>
    <w:rsid w:val="006B0533"/>
    <w:rsid w:val="006B32BD"/>
    <w:rsid w:val="006C1970"/>
    <w:rsid w:val="006D0F78"/>
    <w:rsid w:val="0070043C"/>
    <w:rsid w:val="0072004A"/>
    <w:rsid w:val="007207CC"/>
    <w:rsid w:val="00720B53"/>
    <w:rsid w:val="007270EB"/>
    <w:rsid w:val="0073716B"/>
    <w:rsid w:val="007402DE"/>
    <w:rsid w:val="00741AA8"/>
    <w:rsid w:val="0074369F"/>
    <w:rsid w:val="007526CB"/>
    <w:rsid w:val="00774545"/>
    <w:rsid w:val="00784C8C"/>
    <w:rsid w:val="00786A26"/>
    <w:rsid w:val="007911EB"/>
    <w:rsid w:val="007935B6"/>
    <w:rsid w:val="00793857"/>
    <w:rsid w:val="007938EE"/>
    <w:rsid w:val="0079594D"/>
    <w:rsid w:val="007A2785"/>
    <w:rsid w:val="007A5080"/>
    <w:rsid w:val="007A6CCD"/>
    <w:rsid w:val="007D2D47"/>
    <w:rsid w:val="007D2F38"/>
    <w:rsid w:val="007E22CC"/>
    <w:rsid w:val="007F0102"/>
    <w:rsid w:val="00814370"/>
    <w:rsid w:val="008213CA"/>
    <w:rsid w:val="00826C04"/>
    <w:rsid w:val="00830E70"/>
    <w:rsid w:val="00835D1A"/>
    <w:rsid w:val="008545ED"/>
    <w:rsid w:val="00857A89"/>
    <w:rsid w:val="008652A6"/>
    <w:rsid w:val="00880B4A"/>
    <w:rsid w:val="0088741C"/>
    <w:rsid w:val="008B1D85"/>
    <w:rsid w:val="008B404D"/>
    <w:rsid w:val="008D066B"/>
    <w:rsid w:val="008F0859"/>
    <w:rsid w:val="00907BD2"/>
    <w:rsid w:val="00924A7E"/>
    <w:rsid w:val="009345CD"/>
    <w:rsid w:val="00942444"/>
    <w:rsid w:val="00970076"/>
    <w:rsid w:val="009835E4"/>
    <w:rsid w:val="00990050"/>
    <w:rsid w:val="00992CC1"/>
    <w:rsid w:val="009A027A"/>
    <w:rsid w:val="009C3AD7"/>
    <w:rsid w:val="009C7CE8"/>
    <w:rsid w:val="009D5026"/>
    <w:rsid w:val="009D5040"/>
    <w:rsid w:val="009E6CB8"/>
    <w:rsid w:val="009F78B2"/>
    <w:rsid w:val="00A10504"/>
    <w:rsid w:val="00A15D15"/>
    <w:rsid w:val="00A2733F"/>
    <w:rsid w:val="00A53FE8"/>
    <w:rsid w:val="00A60E40"/>
    <w:rsid w:val="00A6745D"/>
    <w:rsid w:val="00A82AAE"/>
    <w:rsid w:val="00A83473"/>
    <w:rsid w:val="00AA387B"/>
    <w:rsid w:val="00AB3D56"/>
    <w:rsid w:val="00AC0EAB"/>
    <w:rsid w:val="00AC41D4"/>
    <w:rsid w:val="00AD324A"/>
    <w:rsid w:val="00AE66A8"/>
    <w:rsid w:val="00AF66A3"/>
    <w:rsid w:val="00B05392"/>
    <w:rsid w:val="00B142E7"/>
    <w:rsid w:val="00B204F0"/>
    <w:rsid w:val="00B24FA2"/>
    <w:rsid w:val="00B27111"/>
    <w:rsid w:val="00B32D89"/>
    <w:rsid w:val="00B45B9C"/>
    <w:rsid w:val="00B50A53"/>
    <w:rsid w:val="00B630E6"/>
    <w:rsid w:val="00B727D4"/>
    <w:rsid w:val="00BA461C"/>
    <w:rsid w:val="00BB0347"/>
    <w:rsid w:val="00BB34DD"/>
    <w:rsid w:val="00BB3D95"/>
    <w:rsid w:val="00BB5BC5"/>
    <w:rsid w:val="00BC1DAC"/>
    <w:rsid w:val="00BC5A19"/>
    <w:rsid w:val="00BD1E32"/>
    <w:rsid w:val="00BD77BA"/>
    <w:rsid w:val="00BE6C78"/>
    <w:rsid w:val="00C07C5A"/>
    <w:rsid w:val="00C310A9"/>
    <w:rsid w:val="00C4394F"/>
    <w:rsid w:val="00C539EC"/>
    <w:rsid w:val="00C66B51"/>
    <w:rsid w:val="00C66CE5"/>
    <w:rsid w:val="00C71B95"/>
    <w:rsid w:val="00C8165A"/>
    <w:rsid w:val="00C85D97"/>
    <w:rsid w:val="00CA0C8E"/>
    <w:rsid w:val="00CC1F53"/>
    <w:rsid w:val="00CC36D8"/>
    <w:rsid w:val="00CC6BBC"/>
    <w:rsid w:val="00CD36F4"/>
    <w:rsid w:val="00CF4972"/>
    <w:rsid w:val="00CF54D3"/>
    <w:rsid w:val="00CF6343"/>
    <w:rsid w:val="00D0458B"/>
    <w:rsid w:val="00D17D14"/>
    <w:rsid w:val="00D20ED8"/>
    <w:rsid w:val="00D2287A"/>
    <w:rsid w:val="00D33794"/>
    <w:rsid w:val="00D35633"/>
    <w:rsid w:val="00D35EBF"/>
    <w:rsid w:val="00D548E5"/>
    <w:rsid w:val="00D556A0"/>
    <w:rsid w:val="00D57FC4"/>
    <w:rsid w:val="00D63BA8"/>
    <w:rsid w:val="00D64294"/>
    <w:rsid w:val="00D64D4D"/>
    <w:rsid w:val="00D663D3"/>
    <w:rsid w:val="00D720BF"/>
    <w:rsid w:val="00D87DF5"/>
    <w:rsid w:val="00D928B4"/>
    <w:rsid w:val="00D93B2A"/>
    <w:rsid w:val="00DA1CC7"/>
    <w:rsid w:val="00DA2085"/>
    <w:rsid w:val="00DA5D56"/>
    <w:rsid w:val="00DB126B"/>
    <w:rsid w:val="00DB3F5D"/>
    <w:rsid w:val="00DB7FBB"/>
    <w:rsid w:val="00DC1F87"/>
    <w:rsid w:val="00DE20A2"/>
    <w:rsid w:val="00DE30C6"/>
    <w:rsid w:val="00DE6039"/>
    <w:rsid w:val="00E03B11"/>
    <w:rsid w:val="00E067CB"/>
    <w:rsid w:val="00E30C6A"/>
    <w:rsid w:val="00E32D50"/>
    <w:rsid w:val="00E50A9C"/>
    <w:rsid w:val="00E51C08"/>
    <w:rsid w:val="00E67931"/>
    <w:rsid w:val="00E80A2A"/>
    <w:rsid w:val="00E816D9"/>
    <w:rsid w:val="00EA3734"/>
    <w:rsid w:val="00EA4B4C"/>
    <w:rsid w:val="00EB343E"/>
    <w:rsid w:val="00EB3EFD"/>
    <w:rsid w:val="00EC38F1"/>
    <w:rsid w:val="00EC48A1"/>
    <w:rsid w:val="00EC733E"/>
    <w:rsid w:val="00ED042D"/>
    <w:rsid w:val="00ED2756"/>
    <w:rsid w:val="00EE0EFD"/>
    <w:rsid w:val="00EE61DA"/>
    <w:rsid w:val="00EF4121"/>
    <w:rsid w:val="00EF77FC"/>
    <w:rsid w:val="00F10312"/>
    <w:rsid w:val="00F1757B"/>
    <w:rsid w:val="00F2257D"/>
    <w:rsid w:val="00F30D53"/>
    <w:rsid w:val="00F55E86"/>
    <w:rsid w:val="00F729E1"/>
    <w:rsid w:val="00F74935"/>
    <w:rsid w:val="00F75E10"/>
    <w:rsid w:val="00F77576"/>
    <w:rsid w:val="00F93645"/>
    <w:rsid w:val="00F96AD0"/>
    <w:rsid w:val="00FA043C"/>
    <w:rsid w:val="00FA3682"/>
    <w:rsid w:val="00FB7F6A"/>
    <w:rsid w:val="00FC750C"/>
    <w:rsid w:val="00FD0082"/>
    <w:rsid w:val="00FD3E7B"/>
    <w:rsid w:val="00FD51EE"/>
    <w:rsid w:val="00FF41F0"/>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6C49487B"/>
  <w15:docId w15:val="{4A04CC5C-1D91-4B3E-BFEC-80896BFD1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A47"/>
    <w:pPr>
      <w:spacing w:after="0" w:line="264" w:lineRule="auto"/>
      <w:jc w:val="both"/>
    </w:pPr>
    <w:rPr>
      <w:rFonts w:ascii="Georgia" w:eastAsia="Times New Roman" w:hAnsi="Georgia" w:cs="Times New Roman"/>
      <w:sz w:val="21"/>
      <w:szCs w:val="24"/>
    </w:rPr>
  </w:style>
  <w:style w:type="paragraph" w:styleId="Overskrift1">
    <w:name w:val="heading 1"/>
    <w:basedOn w:val="Normal"/>
    <w:next w:val="Normal"/>
    <w:link w:val="Overskrift1Tegn"/>
    <w:qFormat/>
    <w:rsid w:val="00477A47"/>
    <w:pPr>
      <w:keepNext/>
      <w:keepLines/>
      <w:spacing w:before="480" w:after="240" w:line="240" w:lineRule="auto"/>
      <w:jc w:val="left"/>
      <w:outlineLvl w:val="0"/>
    </w:pPr>
    <w:rPr>
      <w:rFonts w:ascii="Arial" w:hAnsi="Arial" w:cs="Arial"/>
      <w:b/>
      <w:bCs/>
      <w:sz w:val="26"/>
      <w:szCs w:val="26"/>
    </w:rPr>
  </w:style>
  <w:style w:type="paragraph" w:styleId="Overskrift2">
    <w:name w:val="heading 2"/>
    <w:basedOn w:val="Normal"/>
    <w:next w:val="Normal"/>
    <w:link w:val="Overskrift2Tegn"/>
    <w:qFormat/>
    <w:rsid w:val="00477A47"/>
    <w:pPr>
      <w:keepNext/>
      <w:keepLines/>
      <w:spacing w:before="360" w:after="160" w:line="240" w:lineRule="auto"/>
      <w:jc w:val="left"/>
      <w:outlineLvl w:val="1"/>
    </w:pPr>
    <w:rPr>
      <w:rFonts w:ascii="Arial" w:hAnsi="Arial" w:cs="Arial"/>
      <w:b/>
      <w:bCs/>
      <w:iCs/>
      <w:sz w:val="24"/>
    </w:rPr>
  </w:style>
  <w:style w:type="paragraph" w:styleId="Overskrift3">
    <w:name w:val="heading 3"/>
    <w:basedOn w:val="Normal"/>
    <w:next w:val="Normal"/>
    <w:link w:val="Overskrift3Tegn"/>
    <w:qFormat/>
    <w:rsid w:val="00477A47"/>
    <w:pPr>
      <w:keepNext/>
      <w:keepLines/>
      <w:spacing w:before="240" w:after="80" w:line="240" w:lineRule="auto"/>
      <w:jc w:val="left"/>
      <w:outlineLvl w:val="2"/>
    </w:pPr>
    <w:rPr>
      <w:rFonts w:ascii="Arial" w:hAnsi="Arial" w:cs="Arial"/>
      <w:b/>
      <w:bCs/>
      <w:sz w:val="20"/>
      <w:szCs w:val="2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FormateretHTML">
    <w:name w:val="HTML Preformatted"/>
    <w:basedOn w:val="Normal"/>
    <w:link w:val="FormateretHTMLTegn"/>
    <w:rsid w:val="00477A47"/>
    <w:rPr>
      <w:rFonts w:ascii="Courier New" w:hAnsi="Courier New" w:cs="Courier New"/>
      <w:szCs w:val="20"/>
    </w:rPr>
  </w:style>
  <w:style w:type="character" w:customStyle="1" w:styleId="FormateretHTMLTegn">
    <w:name w:val="Formateret HTML Tegn"/>
    <w:basedOn w:val="Standardskrifttypeiafsnit"/>
    <w:link w:val="FormateretHTML"/>
    <w:rsid w:val="00477A47"/>
    <w:rPr>
      <w:rFonts w:ascii="Courier New" w:eastAsia="Times New Roman" w:hAnsi="Courier New" w:cs="Courier New"/>
      <w:sz w:val="21"/>
      <w:szCs w:val="20"/>
    </w:rPr>
  </w:style>
  <w:style w:type="paragraph" w:styleId="Indholdsfortegnelse1">
    <w:name w:val="toc 1"/>
    <w:basedOn w:val="Normal"/>
    <w:next w:val="Normal"/>
    <w:autoRedefine/>
    <w:semiHidden/>
    <w:rsid w:val="00477A47"/>
    <w:pPr>
      <w:spacing w:before="120"/>
    </w:pPr>
    <w:rPr>
      <w:b/>
    </w:rPr>
  </w:style>
  <w:style w:type="paragraph" w:styleId="Indholdsfortegnelse2">
    <w:name w:val="toc 2"/>
    <w:basedOn w:val="Normal"/>
    <w:next w:val="Normal"/>
    <w:autoRedefine/>
    <w:semiHidden/>
    <w:rsid w:val="00477A47"/>
    <w:pPr>
      <w:spacing w:before="60"/>
    </w:pPr>
  </w:style>
  <w:style w:type="paragraph" w:styleId="Indholdsfortegnelse3">
    <w:name w:val="toc 3"/>
    <w:basedOn w:val="Normal"/>
    <w:next w:val="Normal"/>
    <w:autoRedefine/>
    <w:semiHidden/>
    <w:rsid w:val="00477A47"/>
  </w:style>
  <w:style w:type="paragraph" w:customStyle="1" w:styleId="Ledetekst">
    <w:name w:val="Ledetekst"/>
    <w:basedOn w:val="Normal"/>
    <w:next w:val="Normal"/>
    <w:rsid w:val="00294654"/>
    <w:pPr>
      <w:keepNext/>
      <w:framePr w:w="2268" w:hSpace="284" w:wrap="notBeside" w:vAnchor="text" w:hAnchor="page" w:y="1"/>
      <w:suppressAutoHyphens/>
      <w:spacing w:line="288" w:lineRule="auto"/>
      <w:jc w:val="right"/>
    </w:pPr>
    <w:rPr>
      <w:rFonts w:ascii="Arial" w:hAnsi="Arial"/>
      <w:sz w:val="19"/>
    </w:rPr>
  </w:style>
  <w:style w:type="paragraph" w:customStyle="1" w:styleId="LedetekstTNS">
    <w:name w:val="LedetekstTNS"/>
    <w:basedOn w:val="Ledetekst"/>
    <w:next w:val="Normal"/>
    <w:rsid w:val="00477A47"/>
    <w:pPr>
      <w:pageBreakBefore/>
      <w:framePr w:wrap="notBeside"/>
    </w:pPr>
  </w:style>
  <w:style w:type="paragraph" w:styleId="Opstilling-punkttegn">
    <w:name w:val="List Bullet"/>
    <w:basedOn w:val="Normal"/>
    <w:rsid w:val="00477A47"/>
    <w:pPr>
      <w:numPr>
        <w:numId w:val="9"/>
      </w:numPr>
    </w:pPr>
  </w:style>
  <w:style w:type="paragraph" w:styleId="Opstilling-punkttegn2">
    <w:name w:val="List Bullet 2"/>
    <w:basedOn w:val="Normal"/>
    <w:rsid w:val="00477A47"/>
    <w:pPr>
      <w:numPr>
        <w:numId w:val="10"/>
      </w:numPr>
    </w:pPr>
  </w:style>
  <w:style w:type="paragraph" w:styleId="Opstilling-punkttegn3">
    <w:name w:val="List Bullet 3"/>
    <w:basedOn w:val="Normal"/>
    <w:autoRedefine/>
    <w:rsid w:val="00477A47"/>
    <w:pPr>
      <w:numPr>
        <w:numId w:val="11"/>
      </w:numPr>
    </w:pPr>
  </w:style>
  <w:style w:type="paragraph" w:styleId="Opstilling-talellerbogst">
    <w:name w:val="List Number"/>
    <w:basedOn w:val="Normal"/>
    <w:rsid w:val="00477A47"/>
    <w:pPr>
      <w:numPr>
        <w:numId w:val="12"/>
      </w:numPr>
    </w:pPr>
  </w:style>
  <w:style w:type="character" w:customStyle="1" w:styleId="Overskrift1Tegn">
    <w:name w:val="Overskrift 1 Tegn"/>
    <w:basedOn w:val="Standardskrifttypeiafsnit"/>
    <w:link w:val="Overskrift1"/>
    <w:rsid w:val="00477A47"/>
    <w:rPr>
      <w:rFonts w:ascii="Arial" w:eastAsia="Times New Roman" w:hAnsi="Arial" w:cs="Arial"/>
      <w:b/>
      <w:bCs/>
      <w:sz w:val="26"/>
      <w:szCs w:val="26"/>
    </w:rPr>
  </w:style>
  <w:style w:type="character" w:customStyle="1" w:styleId="Overskrift2Tegn">
    <w:name w:val="Overskrift 2 Tegn"/>
    <w:basedOn w:val="Standardskrifttypeiafsnit"/>
    <w:link w:val="Overskrift2"/>
    <w:rsid w:val="00477A47"/>
    <w:rPr>
      <w:rFonts w:ascii="Arial" w:eastAsia="Times New Roman" w:hAnsi="Arial" w:cs="Arial"/>
      <w:b/>
      <w:bCs/>
      <w:iCs/>
      <w:sz w:val="24"/>
      <w:szCs w:val="24"/>
    </w:rPr>
  </w:style>
  <w:style w:type="character" w:customStyle="1" w:styleId="Overskrift3Tegn">
    <w:name w:val="Overskrift 3 Tegn"/>
    <w:basedOn w:val="Standardskrifttypeiafsnit"/>
    <w:link w:val="Overskrift3"/>
    <w:rsid w:val="00477A47"/>
    <w:rPr>
      <w:rFonts w:ascii="Arial" w:eastAsia="Times New Roman" w:hAnsi="Arial" w:cs="Arial"/>
      <w:b/>
      <w:bCs/>
      <w:sz w:val="20"/>
    </w:rPr>
  </w:style>
  <w:style w:type="paragraph" w:styleId="Sidefod">
    <w:name w:val="footer"/>
    <w:basedOn w:val="Normal"/>
    <w:link w:val="SidefodTegn"/>
    <w:uiPriority w:val="99"/>
    <w:rsid w:val="00477A47"/>
    <w:pPr>
      <w:tabs>
        <w:tab w:val="center" w:pos="4819"/>
        <w:tab w:val="right" w:pos="9638"/>
      </w:tabs>
    </w:pPr>
  </w:style>
  <w:style w:type="character" w:customStyle="1" w:styleId="SidefodTegn">
    <w:name w:val="Sidefod Tegn"/>
    <w:basedOn w:val="Standardskrifttypeiafsnit"/>
    <w:link w:val="Sidefod"/>
    <w:uiPriority w:val="99"/>
    <w:rsid w:val="00477A47"/>
    <w:rPr>
      <w:rFonts w:ascii="Georgia" w:eastAsia="Times New Roman" w:hAnsi="Georgia" w:cs="Times New Roman"/>
      <w:sz w:val="21"/>
      <w:szCs w:val="24"/>
    </w:rPr>
  </w:style>
  <w:style w:type="paragraph" w:styleId="Sidehoved">
    <w:name w:val="header"/>
    <w:basedOn w:val="Normal"/>
    <w:link w:val="SidehovedTegn"/>
    <w:rsid w:val="00477A47"/>
    <w:pPr>
      <w:tabs>
        <w:tab w:val="center" w:pos="4819"/>
        <w:tab w:val="right" w:pos="9638"/>
      </w:tabs>
    </w:pPr>
  </w:style>
  <w:style w:type="character" w:customStyle="1" w:styleId="SidehovedTegn">
    <w:name w:val="Sidehoved Tegn"/>
    <w:basedOn w:val="Standardskrifttypeiafsnit"/>
    <w:link w:val="Sidehoved"/>
    <w:rsid w:val="00477A47"/>
    <w:rPr>
      <w:rFonts w:ascii="Georgia" w:eastAsia="Times New Roman" w:hAnsi="Georgia" w:cs="Times New Roman"/>
      <w:sz w:val="21"/>
      <w:szCs w:val="24"/>
    </w:rPr>
  </w:style>
  <w:style w:type="character" w:styleId="Sidetal">
    <w:name w:val="page number"/>
    <w:basedOn w:val="Standardskrifttypeiafsnit"/>
    <w:rsid w:val="00477A47"/>
  </w:style>
  <w:style w:type="paragraph" w:customStyle="1" w:styleId="Tab">
    <w:name w:val="Tab"/>
    <w:basedOn w:val="Normal"/>
    <w:next w:val="Normal"/>
    <w:rsid w:val="00477A47"/>
    <w:pPr>
      <w:tabs>
        <w:tab w:val="left" w:pos="7598"/>
      </w:tabs>
    </w:pPr>
  </w:style>
  <w:style w:type="paragraph" w:styleId="Titel">
    <w:name w:val="Title"/>
    <w:basedOn w:val="Normal"/>
    <w:next w:val="Normal"/>
    <w:link w:val="TitelTegn"/>
    <w:qFormat/>
    <w:rsid w:val="00477A47"/>
    <w:pPr>
      <w:keepNext/>
      <w:keepLines/>
      <w:spacing w:before="480" w:after="240" w:line="240" w:lineRule="auto"/>
      <w:jc w:val="left"/>
    </w:pPr>
    <w:rPr>
      <w:rFonts w:ascii="Arial" w:hAnsi="Arial" w:cs="Arial"/>
      <w:b/>
      <w:bCs/>
      <w:kern w:val="28"/>
      <w:sz w:val="30"/>
      <w:szCs w:val="32"/>
    </w:rPr>
  </w:style>
  <w:style w:type="character" w:customStyle="1" w:styleId="TitelTegn">
    <w:name w:val="Titel Tegn"/>
    <w:basedOn w:val="Standardskrifttypeiafsnit"/>
    <w:link w:val="Titel"/>
    <w:rsid w:val="00477A47"/>
    <w:rPr>
      <w:rFonts w:ascii="Arial" w:eastAsia="Times New Roman" w:hAnsi="Arial" w:cs="Arial"/>
      <w:b/>
      <w:bCs/>
      <w:kern w:val="28"/>
      <w:sz w:val="30"/>
      <w:szCs w:val="32"/>
    </w:rPr>
  </w:style>
  <w:style w:type="paragraph" w:styleId="Markeringsbobletekst">
    <w:name w:val="Balloon Text"/>
    <w:basedOn w:val="Normal"/>
    <w:link w:val="MarkeringsbobletekstTegn"/>
    <w:uiPriority w:val="99"/>
    <w:semiHidden/>
    <w:unhideWhenUsed/>
    <w:rsid w:val="00477A47"/>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477A47"/>
    <w:rPr>
      <w:rFonts w:ascii="Tahoma" w:eastAsia="Times New Roman" w:hAnsi="Tahoma" w:cs="Tahoma"/>
      <w:sz w:val="16"/>
      <w:szCs w:val="16"/>
    </w:rPr>
  </w:style>
  <w:style w:type="character" w:styleId="Pladsholdertekst">
    <w:name w:val="Placeholder Text"/>
    <w:basedOn w:val="Standardskrifttypeiafsnit"/>
    <w:uiPriority w:val="99"/>
    <w:semiHidden/>
    <w:rsid w:val="00477A47"/>
    <w:rPr>
      <w:color w:val="808080"/>
    </w:rPr>
  </w:style>
  <w:style w:type="table" w:styleId="Tabel-Gitter">
    <w:name w:val="Table Grid"/>
    <w:basedOn w:val="Tabel-Normal"/>
    <w:uiPriority w:val="59"/>
    <w:rsid w:val="00477A47"/>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afsnit">
    <w:name w:val="List Paragraph"/>
    <w:basedOn w:val="Normal"/>
    <w:uiPriority w:val="34"/>
    <w:qFormat/>
    <w:rsid w:val="00FF41F0"/>
    <w:pPr>
      <w:ind w:left="720"/>
      <w:contextualSpacing/>
    </w:pPr>
  </w:style>
  <w:style w:type="character" w:customStyle="1" w:styleId="A8">
    <w:name w:val="A8"/>
    <w:uiPriority w:val="99"/>
    <w:rsid w:val="009D5040"/>
    <w:rPr>
      <w:rFonts w:cs="ITC Charter Com"/>
      <w:color w:val="000000"/>
      <w:sz w:val="12"/>
      <w:szCs w:val="12"/>
    </w:rPr>
  </w:style>
  <w:style w:type="paragraph" w:customStyle="1" w:styleId="Default">
    <w:name w:val="Default"/>
    <w:rsid w:val="00193025"/>
    <w:pPr>
      <w:autoSpaceDE w:val="0"/>
      <w:autoSpaceDN w:val="0"/>
      <w:adjustRightInd w:val="0"/>
      <w:spacing w:after="0" w:line="240" w:lineRule="auto"/>
    </w:pPr>
    <w:rPr>
      <w:rFonts w:ascii="Georgia" w:hAnsi="Georgia" w:cs="Georgia"/>
      <w:color w:val="000000"/>
      <w:sz w:val="24"/>
      <w:szCs w:val="24"/>
    </w:rPr>
  </w:style>
  <w:style w:type="character" w:styleId="Hyperlink">
    <w:name w:val="Hyperlink"/>
    <w:basedOn w:val="Standardskrifttypeiafsnit"/>
    <w:uiPriority w:val="99"/>
    <w:unhideWhenUsed/>
    <w:rsid w:val="00282D21"/>
    <w:rPr>
      <w:color w:val="0000FF" w:themeColor="hyperlink"/>
      <w:u w:val="single"/>
    </w:rPr>
  </w:style>
  <w:style w:type="character" w:styleId="BesgtLink">
    <w:name w:val="FollowedHyperlink"/>
    <w:basedOn w:val="Standardskrifttypeiafsnit"/>
    <w:uiPriority w:val="99"/>
    <w:semiHidden/>
    <w:unhideWhenUsed/>
    <w:rsid w:val="00BB034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0281508">
      <w:bodyDiv w:val="1"/>
      <w:marLeft w:val="0"/>
      <w:marRight w:val="0"/>
      <w:marTop w:val="0"/>
      <w:marBottom w:val="0"/>
      <w:divBdr>
        <w:top w:val="none" w:sz="0" w:space="0" w:color="auto"/>
        <w:left w:val="none" w:sz="0" w:space="0" w:color="auto"/>
        <w:bottom w:val="none" w:sz="0" w:space="0" w:color="auto"/>
        <w:right w:val="none" w:sz="0" w:space="0" w:color="auto"/>
      </w:divBdr>
    </w:div>
    <w:div w:id="1664357637">
      <w:bodyDiv w:val="1"/>
      <w:marLeft w:val="0"/>
      <w:marRight w:val="0"/>
      <w:marTop w:val="0"/>
      <w:marBottom w:val="0"/>
      <w:divBdr>
        <w:top w:val="none" w:sz="0" w:space="0" w:color="auto"/>
        <w:left w:val="none" w:sz="0" w:space="0" w:color="auto"/>
        <w:bottom w:val="none" w:sz="0" w:space="0" w:color="auto"/>
        <w:right w:val="none" w:sz="0" w:space="0" w:color="auto"/>
      </w:divBdr>
    </w:div>
    <w:div w:id="1919165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Application%20Data\Microsoft\skabeloner\DsNotat.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76566953B2D434B9C0877AB614F0E33"/>
        <w:category>
          <w:name w:val="Generelt"/>
          <w:gallery w:val="placeholder"/>
        </w:category>
        <w:types>
          <w:type w:val="bbPlcHdr"/>
        </w:types>
        <w:behaviors>
          <w:behavior w:val="content"/>
        </w:behaviors>
        <w:guid w:val="{54AD9335-E1B3-410A-9637-51C9E6B8BC6F}"/>
      </w:docPartPr>
      <w:docPartBody>
        <w:p w:rsidR="000561C0" w:rsidRDefault="00D81558">
          <w:pPr>
            <w:pStyle w:val="476566953B2D434B9C0877AB614F0E33"/>
          </w:pPr>
          <w:r w:rsidRPr="00DD41F3">
            <w:rPr>
              <w:rStyle w:val="Pladsholdertekst"/>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 Charter Com">
    <w:altName w:val="ITC Charter C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inkAnnotations="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1C0"/>
    <w:rsid w:val="000561C0"/>
    <w:rsid w:val="00D8155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808080"/>
    </w:rPr>
  </w:style>
  <w:style w:type="paragraph" w:customStyle="1" w:styleId="476566953B2D434B9C0877AB614F0E33">
    <w:name w:val="476566953B2D434B9C0877AB614F0E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false</tns:showOnOpen>
  <tns:defaultPropertyEditorNamespace>Standardegenskaber</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6000F-D14F-48AD-8F02-25B29FC5F1EE}">
  <ds:schemaRefs>
    <ds:schemaRef ds:uri="http://schemas.microsoft.com/office/2006/customDocumentInformationPanel"/>
  </ds:schemaRefs>
</ds:datastoreItem>
</file>

<file path=customXml/itemProps2.xml><?xml version="1.0" encoding="utf-8"?>
<ds:datastoreItem xmlns:ds="http://schemas.openxmlformats.org/officeDocument/2006/customXml" ds:itemID="{52C35F21-030B-43A2-B778-2BEE5BBE0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DsNotat.dotm</Template>
  <TotalTime>133</TotalTime>
  <Pages>5</Pages>
  <Words>1572</Words>
  <Characters>9593</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Dokumentation af leverance til Grøn Reform – november 2021</vt:lpstr>
    </vt:vector>
  </TitlesOfParts>
  <Company>Danmarks Statistik</Company>
  <LinksUpToDate>false</LinksUpToDate>
  <CharactersWithSpaces>11143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Dokumentation af leverance til Grøn Reform – november 2021</dc:title>
  <dc:creator>TME</dc:creator>
  <cp:lastModifiedBy>Thomas Eisler</cp:lastModifiedBy>
  <cp:revision>4</cp:revision>
  <dcterms:created xsi:type="dcterms:W3CDTF">2021-11-01T08:14:00Z</dcterms:created>
  <dcterms:modified xsi:type="dcterms:W3CDTF">2021-11-02T08:24:00Z</dcterms:modified>
</cp:coreProperties>
</file>